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276"/>
        <w:jc w:val="center"/>
      </w:pPr>
      <w:r>
        <w:rPr>
          <w:rFonts w:ascii="Times New Roman" w:cs="Times New Roman" w:eastAsia="Times New Roman" w:hAnsi="Times New Roman"/>
          <w:b/>
          <w:bCs/>
          <w:i w:val="false"/>
          <w:iCs w:val="false"/>
          <w:sz w:val="22"/>
          <w:szCs w:val="22"/>
        </w:rPr>
        <w:t xml:space="preserve">(…) NÖBETÇİ ASLİYE HUKUK MAHKEMESİNE</w:t>
      </w:r>
    </w:p>
    <w:p>
      <w:pPr>
        <w:spacing w:after="240" w:line="276"/>
        <w:jc w:val="center"/>
      </w:pPr>
      <w:r>
        <w:rPr>
          <w:rFonts w:ascii="Times New Roman" w:cs="Times New Roman" w:eastAsia="Times New Roman" w:hAnsi="Times New Roman"/>
          <w:b/>
          <w:bCs/>
          <w:i w:val="false"/>
          <w:iCs w:val="false"/>
          <w:sz w:val="22"/>
          <w:szCs w:val="22"/>
        </w:rPr>
        <w:t xml:space="preserve">İHTİYATİ TEDBİR TALEPLİDİR</w:t>
      </w:r>
    </w:p>
    <w:p>
      <w:pPr>
        <w:spacing w:after="60"/>
        <w:jc w:val="left"/>
      </w:pPr>
      <w:r>
        <w:rPr>
          <w:rFonts w:ascii="Times New Roman" w:cs="Times New Roman" w:eastAsia="Times New Roman" w:hAnsi="Times New Roman"/>
          <w:b/>
          <w:bCs/>
          <w:sz w:val="22"/>
          <w:szCs w:val="22"/>
        </w:rPr>
        <w:t xml:space="preserve">DAVACI: </w:t>
      </w:r>
      <w:r>
        <w:rPr>
          <w:rFonts w:ascii="Times New Roman" w:cs="Times New Roman" w:eastAsia="Times New Roman" w:hAnsi="Times New Roman"/>
          <w:sz w:val="22"/>
          <w:szCs w:val="22"/>
        </w:rPr>
        <w:t xml:space="preserve">(Ad Soyad) – T.C. Kimlik No: (…) – Mernis adresi</w:t>
      </w:r>
    </w:p>
    <w:p>
      <w:pPr>
        <w:spacing w:after="60"/>
        <w:jc w:val="left"/>
      </w:pPr>
      <w:r>
        <w:rPr>
          <w:rFonts w:ascii="Times New Roman" w:cs="Times New Roman" w:eastAsia="Times New Roman" w:hAnsi="Times New Roman"/>
          <w:b/>
          <w:bCs/>
          <w:sz w:val="22"/>
          <w:szCs w:val="22"/>
        </w:rPr>
        <w:t xml:space="preserve">VEKİLİ: </w:t>
      </w:r>
      <w:r>
        <w:rPr>
          <w:rFonts w:ascii="Times New Roman" w:cs="Times New Roman" w:eastAsia="Times New Roman" w:hAnsi="Times New Roman"/>
          <w:sz w:val="22"/>
          <w:szCs w:val="22"/>
        </w:rPr>
        <w:t xml:space="preserve">Av. (Ad Soyad) – (Baro / Sicil No) – UETS adresi</w:t>
      </w:r>
    </w:p>
    <w:p>
      <w:pPr>
        <w:spacing w:after="60"/>
        <w:jc w:val="left"/>
      </w:pPr>
      <w:r>
        <w:rPr>
          <w:rFonts w:ascii="Times New Roman" w:cs="Times New Roman" w:eastAsia="Times New Roman" w:hAnsi="Times New Roman"/>
          <w:b/>
          <w:bCs/>
          <w:sz w:val="22"/>
          <w:szCs w:val="22"/>
        </w:rPr>
        <w:t xml:space="preserve">DAVALILAR: </w:t>
      </w:r>
      <w:r>
        <w:rPr>
          <w:rFonts w:ascii="Times New Roman" w:cs="Times New Roman" w:eastAsia="Times New Roman" w:hAnsi="Times New Roman"/>
          <w:sz w:val="22"/>
          <w:szCs w:val="22"/>
        </w:rPr>
        <w:t xml:space="preserve"/>
      </w:r>
    </w:p>
    <w:p>
      <w:pPr>
        <w:spacing w:after="40" w:line="276"/>
        <w:ind w:left="431"/>
        <w:jc w:val="both"/>
      </w:pPr>
      <w:r>
        <w:rPr>
          <w:rFonts w:ascii="Times New Roman" w:cs="Times New Roman" w:eastAsia="Times New Roman" w:hAnsi="Times New Roman"/>
          <w:b w:val="false"/>
          <w:bCs w:val="false"/>
          <w:i w:val="false"/>
          <w:iCs w:val="false"/>
          <w:sz w:val="22"/>
          <w:szCs w:val="22"/>
        </w:rPr>
        <w:t xml:space="preserve">1- (Borçlu eşin adı soyadı) – T.C. Kimlik No: (…) – Mernis adresi</w:t>
      </w:r>
    </w:p>
    <w:p>
      <w:pPr>
        <w:spacing w:after="40" w:line="276"/>
        <w:ind w:left="431"/>
        <w:jc w:val="both"/>
      </w:pPr>
      <w:r>
        <w:rPr>
          <w:rFonts w:ascii="Times New Roman" w:cs="Times New Roman" w:eastAsia="Times New Roman" w:hAnsi="Times New Roman"/>
          <w:b w:val="false"/>
          <w:bCs w:val="false"/>
          <w:i w:val="false"/>
          <w:iCs w:val="false"/>
          <w:sz w:val="22"/>
          <w:szCs w:val="22"/>
        </w:rPr>
        <w:t xml:space="preserve">2- (Taşınmazı devralan üçüncü kişi) – T.C. Kimlik No: (…) – Mernis adresi</w:t>
      </w:r>
    </w:p>
    <w:p>
      <w:pPr>
        <w:spacing w:after="120" w:line="276"/>
        <w:ind w:left="431"/>
        <w:jc w:val="both"/>
      </w:pPr>
      <w:r>
        <w:rPr>
          <w:rFonts w:ascii="Times New Roman" w:cs="Times New Roman" w:eastAsia="Times New Roman" w:hAnsi="Times New Roman"/>
          <w:b w:val="false"/>
          <w:bCs w:val="false"/>
          <w:i w:val="false"/>
          <w:iCs w:val="false"/>
          <w:sz w:val="22"/>
          <w:szCs w:val="22"/>
        </w:rPr>
        <w:t xml:space="preserve">3- (Zincirin sonraki halkası / dördüncü kişi) – T.C. Kimlik No: (…) – Mernis adresi</w:t>
      </w:r>
    </w:p>
    <w:p>
      <w:pPr>
        <w:spacing w:after="60"/>
        <w:jc w:val="left"/>
      </w:pPr>
      <w:r>
        <w:rPr>
          <w:rFonts w:ascii="Times New Roman" w:cs="Times New Roman" w:eastAsia="Times New Roman" w:hAnsi="Times New Roman"/>
          <w:b/>
          <w:bCs/>
          <w:sz w:val="22"/>
          <w:szCs w:val="22"/>
        </w:rPr>
        <w:t xml:space="preserve">KONU: </w:t>
      </w:r>
      <w:r>
        <w:rPr>
          <w:rFonts w:ascii="Times New Roman" w:cs="Times New Roman" w:eastAsia="Times New Roman" w:hAnsi="Times New Roman"/>
          <w:sz w:val="22"/>
          <w:szCs w:val="22"/>
        </w:rPr>
        <w:t xml:space="preserve">Muvazaa olmadığı takdirde tasarrufun iptaline dair terditli dava dilekçemizdir.</w:t>
      </w:r>
    </w:p>
    <w:p>
      <w:pPr>
        <w:spacing w:after="60"/>
        <w:jc w:val="left"/>
      </w:pPr>
      <w:r>
        <w:rPr>
          <w:rFonts w:ascii="Times New Roman" w:cs="Times New Roman" w:eastAsia="Times New Roman" w:hAnsi="Times New Roman"/>
          <w:b/>
          <w:bCs/>
          <w:sz w:val="22"/>
          <w:szCs w:val="22"/>
        </w:rPr>
        <w:t xml:space="preserve">HARCA ESAS DEĞER: </w:t>
      </w:r>
      <w:r>
        <w:rPr>
          <w:rFonts w:ascii="Times New Roman" w:cs="Times New Roman" w:eastAsia="Times New Roman" w:hAnsi="Times New Roman"/>
          <w:sz w:val="22"/>
          <w:szCs w:val="22"/>
        </w:rPr>
        <w:t xml:space="preserve">(…) TL (harca esas olmak üzere şimdilik)</w:t>
      </w:r>
    </w:p>
    <w:p>
      <w:pPr>
        <w:spacing w:after="140" w:before="280"/>
        <w:jc w:val="left"/>
      </w:pPr>
      <w:r>
        <w:rPr>
          <w:rFonts w:ascii="Times New Roman" w:cs="Times New Roman" w:eastAsia="Times New Roman" w:hAnsi="Times New Roman"/>
          <w:b/>
          <w:bCs/>
          <w:sz w:val="22"/>
          <w:szCs w:val="22"/>
        </w:rPr>
        <w:t xml:space="preserve">A- GENEL AÇIKLAMALAR</w:t>
      </w:r>
    </w:p>
    <w:p>
      <w:pPr>
        <w:spacing w:after="120" w:line="276"/>
        <w:jc w:val="both"/>
      </w:pPr>
      <w:r>
        <w:rPr>
          <w:rFonts w:ascii="Times New Roman" w:cs="Times New Roman" w:eastAsia="Times New Roman" w:hAnsi="Times New Roman"/>
          <w:b w:val="false"/>
          <w:bCs w:val="false"/>
          <w:i w:val="false"/>
          <w:iCs w:val="false"/>
          <w:sz w:val="22"/>
          <w:szCs w:val="22"/>
        </w:rPr>
        <w:t xml:space="preserve">1. Davalı (…) aleyhine boşanma, maddi ve manevi tazminat ile ziynet alacakları talepli açtığımız (…) Aile Mahkemesi’nin (…) E. – (…) K. sayılı dosyasında davamızın kabulüne karar verilmiştir. Kararda boşanma, maddi ve manevi tazminat ile ziynet alacaklarına dair hüküm kurulmuş; kararın ziynet alacaklarına ilişkin kısmı icra takibine konu edilmiştir. (…) İcra Dairesi’nin (…) E. sayılı takibi hâlen derdesttir.</w:t>
      </w:r>
    </w:p>
    <w:p>
      <w:pPr>
        <w:spacing w:after="120" w:line="276"/>
        <w:jc w:val="both"/>
      </w:pPr>
      <w:r>
        <w:rPr>
          <w:rFonts w:ascii="Times New Roman" w:cs="Times New Roman" w:eastAsia="Times New Roman" w:hAnsi="Times New Roman"/>
          <w:b w:val="false"/>
          <w:bCs w:val="false"/>
          <w:i w:val="false"/>
          <w:iCs w:val="false"/>
          <w:sz w:val="22"/>
          <w:szCs w:val="22"/>
        </w:rPr>
        <w:t xml:space="preserve">2. Süreç şu şekilde işlemiştir: (…) tarihinde mahkemece karar verilmiş, (…) tarihinde gerekçeli karar yazılmış, icra takibi başlatılmış, (…) tarihinde davalı vekiline tebligat yapılmış, (…) tarihinde ödeme emri tebliğ edilmiştir. Takibin kesinleştirilmesi ve haciz işlemleri için (…) tarihlerinde icra müdürlüğüne talepte bulunulmuştur. İcra müdürlüğünün işlem yapmakta gecikmesi sırasında, (…) tarih ve (…) yevmiye numaralı işlemle borçlu adına kayıtlı taşınmazların tamamı üçüncü kişiye satış gösterilmek suretiyle, alacaklıdan mal kaçırma kastıyla devredilmiştir.</w:t>
      </w:r>
    </w:p>
    <w:p>
      <w:pPr>
        <w:spacing w:after="120" w:line="276"/>
        <w:jc w:val="both"/>
      </w:pPr>
      <w:r>
        <w:rPr>
          <w:rFonts w:ascii="Times New Roman" w:cs="Times New Roman" w:eastAsia="Times New Roman" w:hAnsi="Times New Roman"/>
          <w:b w:val="false"/>
          <w:bCs w:val="false"/>
          <w:i w:val="false"/>
          <w:iCs w:val="false"/>
          <w:sz w:val="22"/>
          <w:szCs w:val="22"/>
        </w:rPr>
        <w:t xml:space="preserve">3. Davalı borçlunun kötüniyetli hareket ettiği sabittir. Mernis adresinde fiilî haciz yapılmış, banka hesaplarına haciz yazılmış, taşınır ve taşınmaz malları UYAP üzerinden sorgulanmıştır. Haczi kabil bir mal bulunamamıştır.</w:t>
      </w:r>
    </w:p>
    <w:p>
      <w:pPr>
        <w:spacing w:after="120" w:line="276"/>
        <w:jc w:val="both"/>
      </w:pPr>
      <w:r>
        <w:rPr>
          <w:rFonts w:ascii="Times New Roman" w:cs="Times New Roman" w:eastAsia="Times New Roman" w:hAnsi="Times New Roman"/>
          <w:b w:val="false"/>
          <w:bCs w:val="false"/>
          <w:i w:val="false"/>
          <w:iCs w:val="false"/>
          <w:sz w:val="22"/>
          <w:szCs w:val="22"/>
        </w:rPr>
        <w:t xml:space="preserve">4. Davalı borçlu, adına kayıtlı aşağıdaki taşınmazların tamamını (…) tarih ve (…) yevmiye numaralı işlemle, gerçek bedellerinin çok altında olacak şekilde aynı kişiye satış göstermek suretiyle devretmiştir:</w:t>
      </w:r>
    </w:p>
    <w:p>
      <w:pPr>
        <w:spacing w:after="40" w:line="276"/>
        <w:ind w:left="431"/>
        <w:jc w:val="both"/>
      </w:pPr>
      <w:r>
        <w:rPr>
          <w:rFonts w:ascii="Times New Roman" w:cs="Times New Roman" w:eastAsia="Times New Roman" w:hAnsi="Times New Roman"/>
          <w:b w:val="false"/>
          <w:bCs w:val="false"/>
          <w:i w:val="false"/>
          <w:iCs w:val="false"/>
          <w:sz w:val="22"/>
          <w:szCs w:val="22"/>
        </w:rPr>
        <w:t xml:space="preserve">a) (…) ili, (…) ilçesi, (…) Mahallesi, (…) Ada, (…) Parsel, (…) numaralı bağımsız bölümde bulunan ve müvekkil ile davalının aile konutu olarak kullandıkları daire. (Bu taşınmaz, ilk devirden (…) gün sonra bu defa üçüncü davalıya devredilmiştir.)</w:t>
      </w:r>
    </w:p>
    <w:p>
      <w:pPr>
        <w:spacing w:after="40" w:line="276"/>
        <w:ind w:left="431"/>
        <w:jc w:val="both"/>
      </w:pPr>
      <w:r>
        <w:rPr>
          <w:rFonts w:ascii="Times New Roman" w:cs="Times New Roman" w:eastAsia="Times New Roman" w:hAnsi="Times New Roman"/>
          <w:b w:val="false"/>
          <w:bCs w:val="false"/>
          <w:i w:val="false"/>
          <w:iCs w:val="false"/>
          <w:sz w:val="22"/>
          <w:szCs w:val="22"/>
        </w:rPr>
        <w:t xml:space="preserve">b) (…) ili, (…) ilçesi, (…) Mahallesi, (…) Ada, (…) Parselde bulunan hissenin tamamı.</w:t>
      </w:r>
    </w:p>
    <w:p>
      <w:pPr>
        <w:spacing w:after="120" w:line="276"/>
        <w:ind w:left="431"/>
        <w:jc w:val="both"/>
      </w:pPr>
      <w:r>
        <w:rPr>
          <w:rFonts w:ascii="Times New Roman" w:cs="Times New Roman" w:eastAsia="Times New Roman" w:hAnsi="Times New Roman"/>
          <w:b w:val="false"/>
          <w:bCs w:val="false"/>
          <w:i w:val="false"/>
          <w:iCs w:val="false"/>
          <w:sz w:val="22"/>
          <w:szCs w:val="22"/>
        </w:rPr>
        <w:t xml:space="preserve">c) (…) ili, (…) ilçesi, (…) Mahallesi, (…) Ada, (…) Parselde bulunan hissenin tamamı.</w:t>
      </w:r>
    </w:p>
    <w:p>
      <w:pPr>
        <w:spacing w:after="120" w:line="276"/>
        <w:jc w:val="both"/>
      </w:pPr>
      <w:r>
        <w:rPr>
          <w:rFonts w:ascii="Times New Roman" w:cs="Times New Roman" w:eastAsia="Times New Roman" w:hAnsi="Times New Roman"/>
          <w:b w:val="false"/>
          <w:bCs w:val="false"/>
          <w:i w:val="false"/>
          <w:iCs w:val="false"/>
          <w:sz w:val="22"/>
          <w:szCs w:val="22"/>
        </w:rPr>
        <w:t xml:space="preserve">5. Davalı borçlu bu taşınmazları sırasıyla (…), (…) ve (…) yıllarında edinmiştir. Bunca uzun süre geçmesine rağmen taşınmazları elinden çıkarmayan davalının, aleyhine karar verilip icra takibi başlatıldıktan kısa süre sonra taşınmazların tamamını aynı gün, aynı kişiye ve bedelinin çok altında devretmesi, açıkça mal kaçırma kastıyla hareket ettiğini ortaya koymaktadır.</w:t>
      </w:r>
    </w:p>
    <w:p>
      <w:pPr>
        <w:spacing w:after="120" w:line="276"/>
        <w:jc w:val="both"/>
      </w:pPr>
      <w:r>
        <w:rPr>
          <w:rFonts w:ascii="Times New Roman" w:cs="Times New Roman" w:eastAsia="Times New Roman" w:hAnsi="Times New Roman"/>
          <w:b w:val="false"/>
          <w:bCs w:val="false"/>
          <w:i w:val="false"/>
          <w:iCs w:val="false"/>
          <w:sz w:val="22"/>
          <w:szCs w:val="22"/>
        </w:rPr>
        <w:t xml:space="preserve">6. Öte yandan kolluk tarafından titiz bir çalışma yapılması hâlinde ortaya çıkacağı üzere, tüm taşınmazlar devredilmiş olsa da buralardaki fiilî tasarruf hâlen davalı borçludadır.</w:t>
      </w:r>
    </w:p>
    <w:p>
      <w:pPr>
        <w:spacing w:after="120" w:line="276"/>
        <w:jc w:val="both"/>
      </w:pPr>
      <w:r>
        <w:rPr>
          <w:rFonts w:ascii="Times New Roman" w:cs="Times New Roman" w:eastAsia="Times New Roman" w:hAnsi="Times New Roman"/>
          <w:b w:val="false"/>
          <w:bCs w:val="false"/>
          <w:i w:val="false"/>
          <w:iCs w:val="false"/>
          <w:sz w:val="22"/>
          <w:szCs w:val="22"/>
        </w:rPr>
        <w:t xml:space="preserve">7. Davalı borçlu, boşanma dosyasındaki tanık beyanları ve gelir tespitine yönelik bilirkişi raporu gibi delillerden anlaşıldığı üzere, kayıtlarda düşük gelirli görünmesine rağmen fiilen bir işletmeyi yönetmekte olup geliri yüksektir. Davalının aile üyeleri dışındaki kişilere sorulmak suretiyle işletmenin bulunduğu adreslerde sosyal ve ekonomik durum araştırması yapılması hâlinde bu husus anlaşılacaktır. Bu nedenle davalının taşınmazları satmasını gerektirecek ekonomik bir ihtiyacı bulunmamaktadır.</w:t>
      </w:r>
    </w:p>
    <w:p>
      <w:pPr>
        <w:spacing w:after="120" w:line="276"/>
        <w:jc w:val="both"/>
      </w:pPr>
      <w:r>
        <w:rPr>
          <w:rFonts w:ascii="Times New Roman" w:cs="Times New Roman" w:eastAsia="Times New Roman" w:hAnsi="Times New Roman"/>
          <w:b w:val="false"/>
          <w:bCs w:val="false"/>
          <w:i w:val="false"/>
          <w:iCs w:val="false"/>
          <w:sz w:val="22"/>
          <w:szCs w:val="22"/>
        </w:rPr>
        <w:t xml:space="preserve">8. Diğer davalıların da bu taşınmazları satın alacak ekonomik güçleri bulunmamaktadır. Bu kişilerin sosyal ve ekonomik durumlarının araştırılması hâlinde bu husus ortaya çıkacaktır. Taşınmazların satın alınması için davalılar tarafından herhangi bir ödeme yapılmamıştır. Bu hususun ispatı için davalıların banka hesaplarının UYAP sisteminden tespiti ile hesap hareketlerinin celbini talep ederiz.</w:t>
      </w:r>
    </w:p>
    <w:p>
      <w:pPr>
        <w:spacing w:after="120" w:line="276"/>
        <w:jc w:val="both"/>
      </w:pPr>
      <w:r>
        <w:rPr>
          <w:rFonts w:ascii="Times New Roman" w:cs="Times New Roman" w:eastAsia="Times New Roman" w:hAnsi="Times New Roman"/>
          <w:b w:val="false"/>
          <w:bCs w:val="false"/>
          <w:i w:val="false"/>
          <w:iCs w:val="false"/>
          <w:sz w:val="22"/>
          <w:szCs w:val="22"/>
        </w:rPr>
        <w:t xml:space="preserve">9. Ayrıca davalıların SGK kayıtlarının da dosya arasına celbini talep ederiz. Zira borçlu dışındaki davalıların bu taşınmazları alım güçlerinin bulunmadığı iddiamızın ispatı bakımından bu kayıtlar önem taşımaktadır.</w:t>
      </w:r>
    </w:p>
    <w:p>
      <w:pPr>
        <w:spacing w:after="120" w:line="276"/>
        <w:jc w:val="both"/>
      </w:pPr>
      <w:r>
        <w:rPr>
          <w:rFonts w:ascii="Times New Roman" w:cs="Times New Roman" w:eastAsia="Times New Roman" w:hAnsi="Times New Roman"/>
          <w:b w:val="false"/>
          <w:bCs w:val="false"/>
          <w:i w:val="false"/>
          <w:iCs w:val="false"/>
          <w:sz w:val="22"/>
          <w:szCs w:val="22"/>
        </w:rPr>
        <w:t xml:space="preserve">10. Davalılar arasında akrabalık ilişkisi bulunma ihtimaline binaen kolluk araştırması yapılmasını ve ayrıca bu konuda nüfus müdürlüğüne yazı yazılmasını talep ederiz.</w:t>
      </w:r>
    </w:p>
    <w:p>
      <w:pPr>
        <w:spacing w:after="120" w:line="276"/>
        <w:jc w:val="both"/>
      </w:pPr>
      <w:r>
        <w:rPr>
          <w:rFonts w:ascii="Times New Roman" w:cs="Times New Roman" w:eastAsia="Times New Roman" w:hAnsi="Times New Roman"/>
          <w:b w:val="false"/>
          <w:bCs w:val="false"/>
          <w:i w:val="false"/>
          <w:iCs w:val="false"/>
          <w:sz w:val="22"/>
          <w:szCs w:val="22"/>
        </w:rPr>
        <w:t xml:space="preserve">11. UYAP sistemi üzerinden yapılacak sorgu ile davalılar adına kayıtlı GSM aboneliklerinin tespiti ve bu kişiler arasındaki arama, arandı ve baz kayıtlarının celbini talep ederiz. Süregelen bir görüşme trafiği bulunması hâlinde davalıların, borçlunun durumunu bilebilecek kişilerden oldukları ortaya çıkacağından bu delilin tespiti önem arz etmektedir.</w:t>
      </w:r>
    </w:p>
    <w:p>
      <w:pPr>
        <w:spacing w:after="120" w:line="276"/>
        <w:jc w:val="both"/>
      </w:pPr>
      <w:r>
        <w:rPr>
          <w:rFonts w:ascii="Times New Roman" w:cs="Times New Roman" w:eastAsia="Times New Roman" w:hAnsi="Times New Roman"/>
          <w:b w:val="false"/>
          <w:bCs w:val="false"/>
          <w:i w:val="false"/>
          <w:iCs w:val="false"/>
          <w:sz w:val="22"/>
          <w:szCs w:val="22"/>
        </w:rPr>
        <w:t xml:space="preserve">12. İlgili belediyeye yazı yazılarak dava konusu taşınmazların numarataj bilgilerinin celbi; akabinde bu numarataj bilgileri vergi dairesine ilgi tutularak buralarda vergi açılışı yapan şahıs ya da şirketlerin kimler olduğunun sorulması; bundan sonra da ilgili kişilere yazı yazılarak kiraları kime, ne şekilde ödediklerinin sorulmasını talep ederiz. Bu zincir, fiilî durumun tespiti bakımından belirleyicidir.</w:t>
      </w:r>
    </w:p>
    <w:p>
      <w:pPr>
        <w:spacing w:after="120" w:line="276"/>
        <w:jc w:val="both"/>
      </w:pPr>
      <w:r>
        <w:rPr>
          <w:rFonts w:ascii="Times New Roman" w:cs="Times New Roman" w:eastAsia="Times New Roman" w:hAnsi="Times New Roman"/>
          <w:b w:val="false"/>
          <w:bCs w:val="false"/>
          <w:i w:val="false"/>
          <w:iCs w:val="false"/>
          <w:sz w:val="22"/>
          <w:szCs w:val="22"/>
        </w:rPr>
        <w:t xml:space="preserve">13. Bu delillerin toplanması hâlinde davalıların mal kaçırma kastıyla ve muvazaalı olarak işlem tesis ettikleri ispatlanacak, ayrıca bildireceğimiz tanıkların beyanları ile durum açıklığa kavuşacaktır.</w:t>
      </w:r>
    </w:p>
    <w:p>
      <w:pPr>
        <w:spacing w:after="140" w:before="280"/>
        <w:jc w:val="left"/>
      </w:pPr>
      <w:r>
        <w:rPr>
          <w:rFonts w:ascii="Times New Roman" w:cs="Times New Roman" w:eastAsia="Times New Roman" w:hAnsi="Times New Roman"/>
          <w:b/>
          <w:bCs/>
          <w:sz w:val="22"/>
          <w:szCs w:val="22"/>
        </w:rPr>
        <w:t xml:space="preserve">B- DAVAMIZIN TERDİTLİ DAVA OLDUĞUNA DAİR AÇIKLAMALARIMIZ</w:t>
      </w:r>
    </w:p>
    <w:p>
      <w:pPr>
        <w:spacing w:after="120" w:line="276"/>
        <w:jc w:val="both"/>
      </w:pPr>
      <w:r>
        <w:rPr>
          <w:rFonts w:ascii="Times New Roman" w:cs="Times New Roman" w:eastAsia="Times New Roman" w:hAnsi="Times New Roman"/>
          <w:b w:val="false"/>
          <w:bCs w:val="false"/>
          <w:i w:val="false"/>
          <w:iCs w:val="false"/>
          <w:sz w:val="22"/>
          <w:szCs w:val="22"/>
        </w:rPr>
        <w:t xml:space="preserve">6100 sayılı Hukuk Muhakemeleri Kanunu’nun 111. maddesi uyarınca davamız terditli olarak açılmıştır. Davada birincil talebimiz, işlemin muvazaalı (danışıklı) olması sebebiyle 6098 sayılı Türk Borçlar Kanunu’nun 19. maddesi uyarınca tarafımıza taşınmazlar üzerinde cebrî icra ile haciz ve satış yetkisi verilmesidir. Terditli (fer’î) talebimiz ise 2004 sayılı İcra ve İflas Kanunu’nun 277 ve devamı maddeleri uyarınca dava konusu taşınmazlar hakkında tasarrufun iptali ile tarafımıza haciz ve satış isteme yetkisi verilmesidir.</w:t>
      </w:r>
    </w:p>
    <w:p>
      <w:pPr>
        <w:spacing w:after="120" w:line="276"/>
        <w:jc w:val="both"/>
      </w:pPr>
      <w:r>
        <w:rPr>
          <w:rFonts w:ascii="Times New Roman" w:cs="Times New Roman" w:eastAsia="Times New Roman" w:hAnsi="Times New Roman"/>
          <w:b w:val="false"/>
          <w:bCs w:val="false"/>
          <w:i w:val="false"/>
          <w:iCs w:val="false"/>
          <w:sz w:val="22"/>
          <w:szCs w:val="22"/>
        </w:rPr>
        <w:t xml:space="preserve">Talepler arasında HMK m. 111/1’in aradığı hukuki ve ekonomik bağlantı mevcuttur; her iki talep de aynı devir işlemine, aynı taşınmazlara ve aynı alacağa dayanmaktadır. HMK m. 111/2 uyarınca mahkeme, asli talebimizin esastan reddine karar vermedikçe fer’î talebimizi inceleyemez.</w:t>
      </w:r>
    </w:p>
    <w:p>
      <w:pPr>
        <w:spacing w:after="140" w:before="280"/>
        <w:jc w:val="left"/>
      </w:pPr>
      <w:r>
        <w:rPr>
          <w:rFonts w:ascii="Times New Roman" w:cs="Times New Roman" w:eastAsia="Times New Roman" w:hAnsi="Times New Roman"/>
          <w:b/>
          <w:bCs/>
          <w:sz w:val="22"/>
          <w:szCs w:val="22"/>
        </w:rPr>
        <w:t xml:space="preserve">C- DÜŞÜK BEDELLE TAŞINMAZIN DEVRİ VE MUHTEMEL AKRABALIK, HER İKİ TALEP BAKIMINDAN DAVANIN KABULÜNÜ GEREKTİRİR</w:t>
      </w:r>
    </w:p>
    <w:p>
      <w:pPr>
        <w:spacing w:after="120" w:line="276"/>
        <w:jc w:val="both"/>
      </w:pPr>
      <w:r>
        <w:rPr>
          <w:rFonts w:ascii="Times New Roman" w:cs="Times New Roman" w:eastAsia="Times New Roman" w:hAnsi="Times New Roman"/>
          <w:b w:val="false"/>
          <w:bCs w:val="false"/>
          <w:i w:val="false"/>
          <w:iCs w:val="false"/>
          <w:sz w:val="22"/>
          <w:szCs w:val="22"/>
        </w:rPr>
        <w:t xml:space="preserve">Yukarıda açıkladığımız tüm hususlar davamızı ispat eder niteliktedir. Taşınmazların satış bedellerinin çok düşük gösterilmiş olması, borçlunun alacaklıdan mal kaçırma amacıyla hareket ettiğini ortaya koymaktadır.</w:t>
      </w:r>
    </w:p>
    <w:p>
      <w:pPr>
        <w:spacing w:after="120" w:line="276"/>
        <w:jc w:val="both"/>
      </w:pPr>
      <w:r>
        <w:rPr>
          <w:rFonts w:ascii="Times New Roman" w:cs="Times New Roman" w:eastAsia="Times New Roman" w:hAnsi="Times New Roman"/>
          <w:b w:val="false"/>
          <w:bCs w:val="false"/>
          <w:i w:val="false"/>
          <w:iCs w:val="false"/>
          <w:sz w:val="22"/>
          <w:szCs w:val="22"/>
        </w:rPr>
        <w:t xml:space="preserve">İİK m. 278 uyarınca, aciz belgesinin ya da aciz belgesi niteliğinde olan haciz tutanağının düzenlendiği tarihten önceki bir yıl içinde yapılan bağışlamalar ve ivazsız tasarruflar iptale tabidir. Aynı maddenin (b) bendine göre, aksi ispatlanmadıkça, sözleşmenin yapıldığı sırada kendi verdiği şeyin gerçek değerine göre borçlunun ivaz olarak pek aşağı bir fiyatla kabul ettiği sözleşmeler bağışlama sayılır. Keşif ve bilirkişi incelemesi ile taşınmazların devir tarihindeki gerçek değeri tespit edildiğinde, bedeller arasındaki misli fark ve ivazsızlık durumu net biçimde ortaya çıkacaktır.</w:t>
      </w:r>
    </w:p>
    <w:p>
      <w:pPr>
        <w:spacing w:after="120" w:line="276"/>
        <w:jc w:val="both"/>
      </w:pPr>
      <w:r>
        <w:rPr>
          <w:rFonts w:ascii="Times New Roman" w:cs="Times New Roman" w:eastAsia="Times New Roman" w:hAnsi="Times New Roman"/>
          <w:b w:val="false"/>
          <w:bCs w:val="false"/>
          <w:i w:val="false"/>
          <w:iCs w:val="false"/>
          <w:sz w:val="22"/>
          <w:szCs w:val="22"/>
        </w:rPr>
        <w:t xml:space="preserve">Aynı maddenin (a) bendi uyarınca, gerçek değerine uygun olarak ivazlı olduğu ispatlanmadıkça altsoy ve üstsoy, üçüncü derece dâhil kan hısımları, son bir yıl içinde evlilik birliği sona ermiş olsa bile eş ve üçüncü derece dâhil kayın hısımları, evlat edinenle evlatlık ve ortak konutta yaşayan kişiler arasında yapılan tasarruflar da bağışlama sayılır.</w:t>
      </w:r>
    </w:p>
    <w:p>
      <w:pPr>
        <w:spacing w:after="120" w:line="276"/>
        <w:jc w:val="both"/>
      </w:pPr>
      <w:r>
        <w:rPr>
          <w:rFonts w:ascii="Times New Roman" w:cs="Times New Roman" w:eastAsia="Times New Roman" w:hAnsi="Times New Roman"/>
          <w:b w:val="false"/>
          <w:bCs w:val="false"/>
          <w:i w:val="false"/>
          <w:iCs w:val="false"/>
          <w:sz w:val="22"/>
          <w:szCs w:val="22"/>
        </w:rPr>
        <w:t xml:space="preserve">İİK m. 280/1 uyarınca; malvarlığı borçlarına yetmeyen bir borçlunun, alacaklılarına zarar verme kastıyla yaptığı tüm işlemler, borçlunun içinde bulunduğu malî durumun ve zarar verme kastının, işlemin diğer tarafınca bilindiği veya bilinmesini gerektiren açık emarelerin bulunduğu hâllerde iptal edilebilir. Şu kadar ki, işlemin gerçekleştiği tarihten itibaren beş yıl içinde borçlu aleyhine haciz veya iflas yoluyla takipte bulunulmuş olmalıdır. Somut olayda bu şart gerçekleşmiştir.</w:t>
      </w:r>
    </w:p>
    <w:p>
      <w:pPr>
        <w:spacing w:after="120" w:line="276"/>
        <w:jc w:val="both"/>
      </w:pPr>
      <w:r>
        <w:rPr>
          <w:rFonts w:ascii="Times New Roman" w:cs="Times New Roman" w:eastAsia="Times New Roman" w:hAnsi="Times New Roman"/>
          <w:b w:val="false"/>
          <w:bCs w:val="false"/>
          <w:i w:val="false"/>
          <w:iCs w:val="false"/>
          <w:sz w:val="22"/>
          <w:szCs w:val="22"/>
        </w:rPr>
        <w:t xml:space="preserve">Aynı maddenin üçüncü fıkrası ise şu şekildedir:</w:t>
      </w:r>
    </w:p>
    <w:p>
      <w:pPr>
        <w:pBdr>
          <w:left w:val="single" w:color="999999" w:sz="6" w:space="8"/>
        </w:pBdr>
        <w:spacing w:after="140" w:line="264"/>
        <w:ind w:left="576" w:right="288"/>
        <w:jc w:val="both"/>
      </w:pPr>
      <w:r>
        <w:rPr>
          <w:rFonts w:ascii="Times New Roman" w:cs="Times New Roman" w:eastAsia="Times New Roman" w:hAnsi="Times New Roman"/>
          <w:i/>
          <w:iCs/>
          <w:sz w:val="20"/>
          <w:szCs w:val="20"/>
        </w:rPr>
        <w:t xml:space="preserve">Üçüncü şahıs, borçlunun karı veya kocası, usul veya füruu ile üçüncü dereceye kadar (bu derece dahil) kan ve sıhri hısımları, evlat edineni veya evlatlığı ise borçlunun birinci fıkrada beyan olunan durumunu bildiği farz olunur. Bunun hilafını üçüncü şahıs, ancak 279 uncu maddenin son fıkrasına göre isbat edebilir.</w:t>
      </w:r>
    </w:p>
    <w:p>
      <w:pPr>
        <w:spacing w:after="120" w:line="276"/>
        <w:jc w:val="both"/>
      </w:pPr>
      <w:r>
        <w:rPr>
          <w:rFonts w:ascii="Times New Roman" w:cs="Times New Roman" w:eastAsia="Times New Roman" w:hAnsi="Times New Roman"/>
          <w:b w:val="false"/>
          <w:bCs w:val="false"/>
          <w:i w:val="false"/>
          <w:iCs w:val="false"/>
          <w:sz w:val="22"/>
          <w:szCs w:val="22"/>
        </w:rPr>
        <w:t xml:space="preserve">Yargıtay’ın yerleşik içtihatlarına göre, davalılar arasındaki yakın akrabalık bağı, borçlunun mal kaçırma kastının üçüncü kişi tarafından bilindiğinin karinesidir. Bu durumda davalıların iyiniyet iddiasında bulunması hukuken mümkün değildir.</w:t>
      </w:r>
    </w:p>
    <w:p>
      <w:pPr>
        <w:spacing w:after="60" w:line="276"/>
        <w:jc w:val="both"/>
      </w:pPr>
      <w:r>
        <w:rPr>
          <w:rFonts w:ascii="Times New Roman" w:cs="Times New Roman" w:eastAsia="Times New Roman" w:hAnsi="Times New Roman"/>
          <w:b/>
          <w:bCs/>
          <w:i w:val="false"/>
          <w:iCs w:val="false"/>
          <w:sz w:val="22"/>
          <w:szCs w:val="22"/>
        </w:rPr>
        <w:t xml:space="preserve">Yargıtay 17. Hukuk Dairesi, E. 2012/1022, K. 2012/7048, T. 30.05.2012:</w:t>
      </w:r>
    </w:p>
    <w:p>
      <w:pPr>
        <w:pBdr>
          <w:left w:val="single" w:color="999999" w:sz="6" w:space="8"/>
        </w:pBdr>
        <w:spacing w:after="140" w:line="264"/>
        <w:ind w:left="576" w:right="288"/>
        <w:jc w:val="both"/>
      </w:pPr>
      <w:r>
        <w:rPr>
          <w:rFonts w:ascii="Times New Roman" w:cs="Times New Roman" w:eastAsia="Times New Roman" w:hAnsi="Times New Roman"/>
          <w:i/>
          <w:iCs/>
          <w:sz w:val="20"/>
          <w:szCs w:val="20"/>
        </w:rPr>
        <w:t xml:space="preserve">...borçlunun yakın akrabası olan davalıya taşınmazlarını gerçek değerinin çok altında satması nedeniyle iptali gerektiği... borçlu ile arasında akrabalık, arkadaşlık veya ticari ilişki gibi borçlunun alacaklılarından mal kaçırma kastını bilen veya bilebilecek kişilerden olduğu...</w:t>
      </w:r>
    </w:p>
    <w:p>
      <w:pPr>
        <w:spacing w:after="60" w:line="276"/>
        <w:jc w:val="both"/>
      </w:pPr>
      <w:r>
        <w:rPr>
          <w:rFonts w:ascii="Times New Roman" w:cs="Times New Roman" w:eastAsia="Times New Roman" w:hAnsi="Times New Roman"/>
          <w:b/>
          <w:bCs/>
          <w:i w:val="false"/>
          <w:iCs w:val="false"/>
          <w:sz w:val="22"/>
          <w:szCs w:val="22"/>
        </w:rPr>
        <w:t xml:space="preserve">Yargıtay Hukuk Genel Kurulu, E. 2018/141, K. 2018/1747, T. 20.11.2018:</w:t>
      </w:r>
    </w:p>
    <w:p>
      <w:pPr>
        <w:pBdr>
          <w:left w:val="single" w:color="999999" w:sz="6" w:space="8"/>
        </w:pBdr>
        <w:spacing w:after="140" w:line="264"/>
        <w:ind w:left="576" w:right="288"/>
        <w:jc w:val="both"/>
      </w:pPr>
      <w:r>
        <w:rPr>
          <w:rFonts w:ascii="Times New Roman" w:cs="Times New Roman" w:eastAsia="Times New Roman" w:hAnsi="Times New Roman"/>
          <w:i/>
          <w:iCs/>
          <w:sz w:val="20"/>
          <w:szCs w:val="20"/>
        </w:rPr>
        <w:t xml:space="preserve">...davalıların ailevi ilişkileri nedeniyle mal kaçırma kastının bilinebileceği... bu kişilere yapılan tasarrufların iptali gerekeceği...</w:t>
      </w:r>
    </w:p>
    <w:p>
      <w:pPr>
        <w:spacing w:after="120" w:line="276"/>
        <w:jc w:val="both"/>
      </w:pPr>
      <w:r>
        <w:rPr>
          <w:rFonts w:ascii="Times New Roman" w:cs="Times New Roman" w:eastAsia="Times New Roman" w:hAnsi="Times New Roman"/>
          <w:b w:val="false"/>
          <w:bCs w:val="false"/>
          <w:i w:val="false"/>
          <w:iCs w:val="false"/>
          <w:sz w:val="22"/>
          <w:szCs w:val="22"/>
        </w:rPr>
        <w:t xml:space="preserve">Her iki talebimiz bakımından bu derece bir akrabalık ya da yakınlık (komşuluk, iş ortaklığı vb.) ilişkisi, davanın kabulünü sağlayacak en temel unsurdur. Zira hayatın olağan akışına göre, bir kimsenin yakınlarının malî durumunu ve alacaklılardan mal kaçırma kastını bilmemesi düşünülemez.</w:t>
      </w:r>
    </w:p>
    <w:p>
      <w:pPr>
        <w:spacing w:after="120" w:line="276"/>
        <w:jc w:val="both"/>
      </w:pPr>
      <w:r>
        <w:rPr>
          <w:rFonts w:ascii="Times New Roman" w:cs="Times New Roman" w:eastAsia="Times New Roman" w:hAnsi="Times New Roman"/>
          <w:b/>
          <w:bCs/>
          <w:i w:val="false"/>
          <w:iCs w:val="false"/>
          <w:sz w:val="22"/>
          <w:szCs w:val="22"/>
        </w:rPr>
        <w:t xml:space="preserve">Muvazaa davası bakımından emsal kararlar:</w:t>
      </w:r>
    </w:p>
    <w:p>
      <w:pPr>
        <w:spacing w:after="60" w:line="276"/>
        <w:jc w:val="both"/>
      </w:pPr>
      <w:r>
        <w:rPr>
          <w:rFonts w:ascii="Times New Roman" w:cs="Times New Roman" w:eastAsia="Times New Roman" w:hAnsi="Times New Roman"/>
          <w:b/>
          <w:bCs/>
          <w:i w:val="false"/>
          <w:iCs w:val="false"/>
          <w:sz w:val="22"/>
          <w:szCs w:val="22"/>
        </w:rPr>
        <w:t xml:space="preserve">Yargıtay 17. Hukuk Dairesi, E. 2016/11311, K. 2019/2206, T. 27.02.2019:</w:t>
      </w:r>
    </w:p>
    <w:p>
      <w:pPr>
        <w:pBdr>
          <w:left w:val="single" w:color="999999" w:sz="6" w:space="8"/>
        </w:pBdr>
        <w:spacing w:after="140" w:line="264"/>
        <w:ind w:left="576" w:right="288"/>
        <w:jc w:val="both"/>
      </w:pPr>
      <w:r>
        <w:rPr>
          <w:rFonts w:ascii="Times New Roman" w:cs="Times New Roman" w:eastAsia="Times New Roman" w:hAnsi="Times New Roman"/>
          <w:i/>
          <w:iCs/>
          <w:sz w:val="20"/>
          <w:szCs w:val="20"/>
        </w:rPr>
        <w:t xml:space="preserve">Davalı borçlu ise diğer davalı 3. kişiye 23.08.2010 tarihinde dava konusu 744 ada 3 parsel sayılı taşınmazını 26.000,00 TL’ye sattığı görülmüştür. Dava konusu taşınmazın devir tarihindeki değeri 61.322,80 TL’dir. ...Ayrıca diğer davalı ..., davalı ...’in eniştesi olup, bedel farkı ile taşınmazın satıldığı göz önüne alındığında, davanın kabulü gerekirken, reddine karar verilmesi bozmayı gerektirmiştir.</w:t>
      </w:r>
    </w:p>
    <w:p>
      <w:pPr>
        <w:spacing w:after="60" w:line="276"/>
        <w:jc w:val="both"/>
      </w:pPr>
      <w:r>
        <w:rPr>
          <w:rFonts w:ascii="Times New Roman" w:cs="Times New Roman" w:eastAsia="Times New Roman" w:hAnsi="Times New Roman"/>
          <w:b/>
          <w:bCs/>
          <w:i w:val="false"/>
          <w:iCs w:val="false"/>
          <w:sz w:val="22"/>
          <w:szCs w:val="22"/>
        </w:rPr>
        <w:t xml:space="preserve">Yargıtay 17. Hukuk Dairesi, E. 2019/1592, K. 2020/5514, T. 13.10.2020:</w:t>
      </w:r>
    </w:p>
    <w:p>
      <w:pPr>
        <w:pBdr>
          <w:left w:val="single" w:color="999999" w:sz="6" w:space="8"/>
        </w:pBdr>
        <w:spacing w:after="140" w:line="264"/>
        <w:ind w:left="576" w:right="288"/>
        <w:jc w:val="both"/>
      </w:pPr>
      <w:r>
        <w:rPr>
          <w:rFonts w:ascii="Times New Roman" w:cs="Times New Roman" w:eastAsia="Times New Roman" w:hAnsi="Times New Roman"/>
          <w:i/>
          <w:iCs/>
          <w:sz w:val="20"/>
          <w:szCs w:val="20"/>
        </w:rPr>
        <w:t xml:space="preserve">anne-oğul olan davalıların ... mal kaçırma amacını bilebilecek şahıslardan olmasına göre</w:t>
      </w:r>
    </w:p>
    <w:p>
      <w:pPr>
        <w:spacing w:after="60" w:line="276"/>
        <w:jc w:val="both"/>
      </w:pPr>
      <w:r>
        <w:rPr>
          <w:rFonts w:ascii="Times New Roman" w:cs="Times New Roman" w:eastAsia="Times New Roman" w:hAnsi="Times New Roman"/>
          <w:b/>
          <w:bCs/>
          <w:i w:val="false"/>
          <w:iCs w:val="false"/>
          <w:sz w:val="22"/>
          <w:szCs w:val="22"/>
        </w:rPr>
        <w:t xml:space="preserve">Yargıtay 4. Hukuk Dairesi, E. 2021/1010, K. 2021/4921, T. 16.09.2021:</w:t>
      </w:r>
    </w:p>
    <w:p>
      <w:pPr>
        <w:pBdr>
          <w:left w:val="single" w:color="999999" w:sz="6" w:space="8"/>
        </w:pBdr>
        <w:spacing w:after="140" w:line="264"/>
        <w:ind w:left="576" w:right="288"/>
        <w:jc w:val="both"/>
      </w:pPr>
      <w:r>
        <w:rPr>
          <w:rFonts w:ascii="Times New Roman" w:cs="Times New Roman" w:eastAsia="Times New Roman" w:hAnsi="Times New Roman"/>
          <w:i/>
          <w:iCs/>
          <w:sz w:val="20"/>
          <w:szCs w:val="20"/>
        </w:rPr>
        <w:t xml:space="preserve">dava konusu taşınmazı boşanma davası açılmadan önce eşinin yeğeni olan davalı ...’ye tapuda satış göstermek suretiyle devrettiğini, davalı eş tarafından taşınmaz satışının mal kaçırma kastı ile yapıldığını belirterek muvazaa iddiasına dayalı tapu iptal tescil isteminde bulunmuştur. ...Mahkemece, davanın kabulüne karar verilmiştir... davalı ... vekilinin yerinde görülmeyen tüm temyiz itirazlarının reddiyle usul ve yasaya uygun bulunan hükmün ONANMASINA</w:t>
      </w:r>
    </w:p>
    <w:p>
      <w:pPr>
        <w:spacing w:after="60" w:line="276"/>
        <w:jc w:val="both"/>
      </w:pPr>
      <w:r>
        <w:rPr>
          <w:rFonts w:ascii="Times New Roman" w:cs="Times New Roman" w:eastAsia="Times New Roman" w:hAnsi="Times New Roman"/>
          <w:b/>
          <w:bCs/>
          <w:i w:val="false"/>
          <w:iCs w:val="false"/>
          <w:sz w:val="22"/>
          <w:szCs w:val="22"/>
        </w:rPr>
        <w:t xml:space="preserve">Yargıtay 17. Hukuk Dairesi, E. 2014/22909, K. 2017/50, T. 16.01.2017:</w:t>
      </w:r>
    </w:p>
    <w:p>
      <w:pPr>
        <w:pBdr>
          <w:left w:val="single" w:color="999999" w:sz="6" w:space="8"/>
        </w:pBdr>
        <w:spacing w:after="140" w:line="264"/>
        <w:ind w:left="576" w:right="288"/>
        <w:jc w:val="both"/>
      </w:pPr>
      <w:r>
        <w:rPr>
          <w:rFonts w:ascii="Times New Roman" w:cs="Times New Roman" w:eastAsia="Times New Roman" w:hAnsi="Times New Roman"/>
          <w:i/>
          <w:iCs/>
          <w:sz w:val="20"/>
          <w:szCs w:val="20"/>
        </w:rPr>
        <w:t xml:space="preserve">davalıların arkadaş ve aynı köylü olmaları dolayısıyla ...’in ...’un mali durumunu bilebilecek durumda olması, taşınmazın satışına ilişkin tanık beyanları, boşanma davasının açılma tarihi ile tasarruf tarihi arasında çok kısa bir süre bulunduğu hususları gözetildiğinde, davacının alacağının ödenmesinin engellenmesine yönelik muvazaalı işlemin bulunduğu anlaşılmakla, boşanma davası tasarruf tarihinden sonra açılmış ise de, boşanmaya neden olan sebeplerin tasarruf tarihi öncesinde mevcut olduğu boşanma ve ceza davası dosya içerikleri ile sabit bulunduğundan, davacının davasının kabulüne karar verilmesi gerekirken hatalı değerlendirme ve gerekçelerle yazılı şekilde karar verilmesi usul ve yasaya aykırıdır.</w:t>
      </w:r>
    </w:p>
    <w:p>
      <w:pPr>
        <w:spacing w:after="60" w:line="276"/>
        <w:jc w:val="both"/>
      </w:pPr>
      <w:r>
        <w:rPr>
          <w:rFonts w:ascii="Times New Roman" w:cs="Times New Roman" w:eastAsia="Times New Roman" w:hAnsi="Times New Roman"/>
          <w:b/>
          <w:bCs/>
          <w:i w:val="false"/>
          <w:iCs w:val="false"/>
          <w:sz w:val="22"/>
          <w:szCs w:val="22"/>
        </w:rPr>
        <w:t xml:space="preserve">Yargıtay Hukuk Genel Kurulu, E. 2017/1446, K. 2021/65, T. 11.02.2021:</w:t>
      </w:r>
    </w:p>
    <w:p>
      <w:pPr>
        <w:pBdr>
          <w:left w:val="single" w:color="999999" w:sz="6" w:space="8"/>
        </w:pBdr>
        <w:spacing w:after="140" w:line="264"/>
        <w:ind w:left="576" w:right="288"/>
        <w:jc w:val="both"/>
      </w:pPr>
      <w:r>
        <w:rPr>
          <w:rFonts w:ascii="Times New Roman" w:cs="Times New Roman" w:eastAsia="Times New Roman" w:hAnsi="Times New Roman"/>
          <w:i/>
          <w:iCs/>
          <w:sz w:val="20"/>
          <w:szCs w:val="20"/>
        </w:rPr>
        <w:t xml:space="preserve">boşanma davasının karara bağlanmasından bir hafta sonra çok düşük bir bedelle, hiçbir işi olmayan yeğeni diğer davalı ...’na satış göstererek tapudan devrettiği, yapılan satış işleminin katkı payı alacağından kurtulmaya yönelik olarak muvazaalı yapıldığı anlaşılmaktadır. Şu durumda, satışın muvazaalı olduğu kanıtlanmıştır.</w:t>
      </w:r>
    </w:p>
    <w:p>
      <w:pPr>
        <w:spacing w:after="140" w:before="280"/>
        <w:jc w:val="left"/>
      </w:pPr>
      <w:r>
        <w:rPr>
          <w:rFonts w:ascii="Times New Roman" w:cs="Times New Roman" w:eastAsia="Times New Roman" w:hAnsi="Times New Roman"/>
          <w:b/>
          <w:bCs/>
          <w:sz w:val="22"/>
          <w:szCs w:val="22"/>
        </w:rPr>
        <w:t xml:space="preserve">D- TERDİTLİ TALEBİMİZ OLAN TASARRUFUN İPTALİ BAKIMINDAN ŞARTLAR MEVCUTTUR</w:t>
      </w:r>
    </w:p>
    <w:p>
      <w:pPr>
        <w:spacing w:after="120" w:line="276"/>
        <w:jc w:val="both"/>
      </w:pPr>
      <w:r>
        <w:rPr>
          <w:rFonts w:ascii="Times New Roman" w:cs="Times New Roman" w:eastAsia="Times New Roman" w:hAnsi="Times New Roman"/>
          <w:b/>
          <w:bCs/>
          <w:i w:val="false"/>
          <w:iCs w:val="false"/>
          <w:sz w:val="22"/>
          <w:szCs w:val="22"/>
        </w:rPr>
        <w:t xml:space="preserve">1. DAVALI BORÇLUNUN ACİZ HÂLİ İSPATLIDIR.</w:t>
      </w:r>
    </w:p>
    <w:p>
      <w:pPr>
        <w:spacing w:after="120" w:line="276"/>
        <w:jc w:val="both"/>
      </w:pPr>
      <w:r>
        <w:rPr>
          <w:rFonts w:ascii="Times New Roman" w:cs="Times New Roman" w:eastAsia="Times New Roman" w:hAnsi="Times New Roman"/>
          <w:b w:val="false"/>
          <w:bCs w:val="false"/>
          <w:i w:val="false"/>
          <w:iCs w:val="false"/>
          <w:sz w:val="22"/>
          <w:szCs w:val="22"/>
        </w:rPr>
        <w:t xml:space="preserve">Haciz işleminde davalının mernis sisteminde kayıtlı adresi kapalı olduğundan içeri girilememiştir. UYAP sisteminden taşınır ve taşınmaz mal sorgulaması yapıldığında üzerinde hiçbir mal kalmadığı sabittir. Öte yandan davalının banka hesaplarına da haciz yazılmış ve bu hesaplarda herhangi bir bakiye bulunmadığı görülmüştür. Davalının haczi kabil malının bulunamaması nedeniyle, İİK m. 105 uyarınca haciz tutanağı aciz vesikası hükmündedir. Borçlunun açıkça ödemeden aciz hâlinde olduğu anlaşılmaktadır.</w:t>
      </w:r>
    </w:p>
    <w:p>
      <w:pPr>
        <w:spacing w:after="60" w:line="276"/>
        <w:jc w:val="both"/>
      </w:pPr>
      <w:r>
        <w:rPr>
          <w:rFonts w:ascii="Times New Roman" w:cs="Times New Roman" w:eastAsia="Times New Roman" w:hAnsi="Times New Roman"/>
          <w:b/>
          <w:bCs/>
          <w:i w:val="false"/>
          <w:iCs w:val="false"/>
          <w:sz w:val="22"/>
          <w:szCs w:val="22"/>
        </w:rPr>
        <w:t xml:space="preserve">Yargıtay 4. Hukuk Dairesi, E. 2022/256, K. 2022/10515, T. 19.09.2022:</w:t>
      </w:r>
    </w:p>
    <w:p>
      <w:pPr>
        <w:pBdr>
          <w:left w:val="single" w:color="999999" w:sz="6" w:space="8"/>
        </w:pBdr>
        <w:spacing w:after="140" w:line="264"/>
        <w:ind w:left="576" w:right="288"/>
        <w:jc w:val="both"/>
      </w:pPr>
      <w:r>
        <w:rPr>
          <w:rFonts w:ascii="Times New Roman" w:cs="Times New Roman" w:eastAsia="Times New Roman" w:hAnsi="Times New Roman"/>
          <w:i/>
          <w:iCs/>
          <w:sz w:val="20"/>
          <w:szCs w:val="20"/>
        </w:rPr>
        <w:t xml:space="preserve">...borçlu adına kayıtlı taşınmazlar bulunduğu, ancak yapılan kıymet takdiri ve haciz sırası göz önüne alındığında bu taşınmazların alacağı karşılamaktan uzak olduğu... haciz tutanaklarının İİK m. 105 kapsamında geçici aciz belgesi niteliğinde olduğu kabul edilerek davanın esasına girilmesi gerektiği...</w:t>
      </w:r>
    </w:p>
    <w:p>
      <w:pPr>
        <w:spacing w:after="60" w:line="276"/>
        <w:jc w:val="both"/>
      </w:pPr>
      <w:r>
        <w:rPr>
          <w:rFonts w:ascii="Times New Roman" w:cs="Times New Roman" w:eastAsia="Times New Roman" w:hAnsi="Times New Roman"/>
          <w:b/>
          <w:bCs/>
          <w:i w:val="false"/>
          <w:iCs w:val="false"/>
          <w:sz w:val="22"/>
          <w:szCs w:val="22"/>
        </w:rPr>
        <w:t xml:space="preserve">Yargıtay 17. Hukuk Dairesi, E. 2010/12526, K. 2011/8528, T. 03.10.2011:</w:t>
      </w:r>
    </w:p>
    <w:p>
      <w:pPr>
        <w:pBdr>
          <w:left w:val="single" w:color="999999" w:sz="6" w:space="8"/>
        </w:pBdr>
        <w:spacing w:after="140" w:line="264"/>
        <w:ind w:left="576" w:right="288"/>
        <w:jc w:val="both"/>
      </w:pPr>
      <w:r>
        <w:rPr>
          <w:rFonts w:ascii="Times New Roman" w:cs="Times New Roman" w:eastAsia="Times New Roman" w:hAnsi="Times New Roman"/>
          <w:i/>
          <w:iCs/>
          <w:sz w:val="20"/>
          <w:szCs w:val="20"/>
        </w:rPr>
        <w:t xml:space="preserve">...borçluya ait taşınmazların üzerlerinde bulunan hacizler dikkate alındığında borcu karşılamaktan uzak olduğu, aciz halinin mevcut olduğu...</w:t>
      </w:r>
    </w:p>
    <w:p>
      <w:pPr>
        <w:spacing w:after="120" w:line="276"/>
        <w:jc w:val="both"/>
      </w:pPr>
      <w:r>
        <w:rPr>
          <w:rFonts w:ascii="Times New Roman" w:cs="Times New Roman" w:eastAsia="Times New Roman" w:hAnsi="Times New Roman"/>
          <w:b/>
          <w:bCs/>
          <w:i w:val="false"/>
          <w:iCs w:val="false"/>
          <w:sz w:val="22"/>
          <w:szCs w:val="22"/>
        </w:rPr>
        <w:t xml:space="preserve">2. HACİZ TUTANAĞI ACİZ VESİKASI HÜKMÜNDEDİR; KALDI Kİ ACİZ VESİKASI DAVANIN HER AŞAMASINDA SUNULABİLİR.</w:t>
      </w:r>
    </w:p>
    <w:p>
      <w:pPr>
        <w:spacing w:after="120" w:line="276"/>
        <w:jc w:val="both"/>
      </w:pPr>
      <w:r>
        <w:rPr>
          <w:rFonts w:ascii="Times New Roman" w:cs="Times New Roman" w:eastAsia="Times New Roman" w:hAnsi="Times New Roman"/>
          <w:b w:val="false"/>
          <w:bCs w:val="false"/>
          <w:i w:val="false"/>
          <w:iCs w:val="false"/>
          <w:sz w:val="22"/>
          <w:szCs w:val="22"/>
        </w:rPr>
        <w:t xml:space="preserve">Haciz işleminde haczi kabil mal bulunamaması nedeniyle bu durum İİK m. 105 uyarınca aciz vesikası hükmündedir. Fakat mahkeme aksi kanaatte ise, tarafımızca aciz vesikası yargılamanın ilerleyen aşamalarında dosyaya ibraz edilecektir.</w:t>
      </w:r>
    </w:p>
    <w:p>
      <w:pPr>
        <w:spacing w:after="120" w:line="276"/>
        <w:jc w:val="both"/>
      </w:pPr>
      <w:r>
        <w:rPr>
          <w:rFonts w:ascii="Times New Roman" w:cs="Times New Roman" w:eastAsia="Times New Roman" w:hAnsi="Times New Roman"/>
          <w:b/>
          <w:bCs/>
          <w:i w:val="false"/>
          <w:iCs w:val="false"/>
          <w:sz w:val="22"/>
          <w:szCs w:val="22"/>
        </w:rPr>
        <w:t xml:space="preserve">3. BORCUN DOĞDUĞU TARİH, DEVİR İŞLEMİNDEN ÇOK ÖNCEKİ BİR TARİHTİR.</w:t>
      </w:r>
    </w:p>
    <w:p>
      <w:pPr>
        <w:spacing w:after="120" w:line="276"/>
        <w:jc w:val="both"/>
      </w:pPr>
      <w:r>
        <w:rPr>
          <w:rFonts w:ascii="Times New Roman" w:cs="Times New Roman" w:eastAsia="Times New Roman" w:hAnsi="Times New Roman"/>
          <w:b w:val="false"/>
          <w:bCs w:val="false"/>
          <w:i w:val="false"/>
          <w:iCs w:val="false"/>
          <w:sz w:val="22"/>
          <w:szCs w:val="22"/>
        </w:rPr>
        <w:t xml:space="preserve">Yerel mahkemece hüküm verildikten sonra taşınmazlar devredilmiştir. Dolayısıyla borcun doğumu, tasarruflardan çok daha önceki bir tarihtir. Kaldı ki borcun doğum anı, ilamın verildiği tarih değil, alacağı doğuran hukuki ilişkinin kurulduğu tarihtir.</w:t>
      </w:r>
    </w:p>
    <w:p>
      <w:pPr>
        <w:spacing w:after="120" w:line="276"/>
        <w:jc w:val="both"/>
      </w:pPr>
      <w:r>
        <w:rPr>
          <w:rFonts w:ascii="Times New Roman" w:cs="Times New Roman" w:eastAsia="Times New Roman" w:hAnsi="Times New Roman"/>
          <w:b/>
          <w:bCs/>
          <w:i w:val="false"/>
          <w:iCs w:val="false"/>
          <w:sz w:val="22"/>
          <w:szCs w:val="22"/>
        </w:rPr>
        <w:t xml:space="preserve">4. OTOMATİK İPTAL SEBEPLERİ DAVAMIZDA MEVCUTTUR.</w:t>
      </w:r>
    </w:p>
    <w:p>
      <w:pPr>
        <w:spacing w:after="120" w:line="276"/>
        <w:jc w:val="both"/>
      </w:pPr>
      <w:r>
        <w:rPr>
          <w:rFonts w:ascii="Times New Roman" w:cs="Times New Roman" w:eastAsia="Times New Roman" w:hAnsi="Times New Roman"/>
          <w:b w:val="false"/>
          <w:bCs w:val="false"/>
          <w:i w:val="false"/>
          <w:iCs w:val="false"/>
          <w:sz w:val="22"/>
          <w:szCs w:val="22"/>
        </w:rPr>
        <w:t xml:space="preserve">Satış bedeli gerçek değerin yarısı veya daha az gösterilen işlemlerde iyiniyet iddiası dinlenmez ve bu durumda başka araştırma yapılmasına gerek olmaksızın davanın kabulüne karar verilmesi gerekir. Olayımızda bu durum mevcuttur. İİK m. 278, m. 279 ve m. 280 hükümleri birlikte değerlendirildiğinde davamızın kabulü gerekmektedir.</w:t>
      </w:r>
    </w:p>
    <w:p>
      <w:pPr>
        <w:spacing w:after="140" w:before="280"/>
        <w:jc w:val="left"/>
      </w:pPr>
      <w:r>
        <w:rPr>
          <w:rFonts w:ascii="Times New Roman" w:cs="Times New Roman" w:eastAsia="Times New Roman" w:hAnsi="Times New Roman"/>
          <w:b/>
          <w:bCs/>
          <w:sz w:val="22"/>
          <w:szCs w:val="22"/>
        </w:rPr>
        <w:t xml:space="preserve">E- HER İKİ TALEP BAKIMINDAN DA VERİLECEK HÜKÜMDE HACİZ VE SATIŞ TALEP ETME YETKİSİ VERİLMELİDİR</w:t>
      </w:r>
    </w:p>
    <w:p>
      <w:pPr>
        <w:spacing w:after="120" w:line="276"/>
        <w:jc w:val="both"/>
      </w:pPr>
      <w:r>
        <w:rPr>
          <w:rFonts w:ascii="Times New Roman" w:cs="Times New Roman" w:eastAsia="Times New Roman" w:hAnsi="Times New Roman"/>
          <w:b/>
          <w:bCs/>
          <w:i w:val="false"/>
          <w:iCs w:val="false"/>
          <w:sz w:val="22"/>
          <w:szCs w:val="22"/>
        </w:rPr>
        <w:t xml:space="preserve">1. BİRİNCİL TALEBİMİZ OLAN MUVAZAA AÇISINDAN</w:t>
      </w:r>
    </w:p>
    <w:p>
      <w:pPr>
        <w:spacing w:after="120" w:line="276"/>
        <w:jc w:val="both"/>
      </w:pPr>
      <w:r>
        <w:rPr>
          <w:rFonts w:ascii="Times New Roman" w:cs="Times New Roman" w:eastAsia="Times New Roman" w:hAnsi="Times New Roman"/>
          <w:b w:val="false"/>
          <w:bCs w:val="false"/>
          <w:i w:val="false"/>
          <w:iCs w:val="false"/>
          <w:sz w:val="22"/>
          <w:szCs w:val="22"/>
        </w:rPr>
        <w:t xml:space="preserve">Yargıtay, muvazaaya dayalı davalarda davacının asıl amacının alacağına kavuşmak olması sebebiyle, verilecek kararda İİK m. 283/1 ve 283/2 hükümlerinin kıyasen uygulanması ile davacıya taşınmazın haciz ve satışını isteme yetkisi verilmesiyle yetinilmesi ve tapu iptali ile tescil şeklinde hüküm kurulmaması gerektiğini belirtmiştir.</w:t>
      </w:r>
    </w:p>
    <w:p>
      <w:pPr>
        <w:spacing w:after="60" w:line="276"/>
        <w:jc w:val="both"/>
      </w:pPr>
      <w:r>
        <w:rPr>
          <w:rFonts w:ascii="Times New Roman" w:cs="Times New Roman" w:eastAsia="Times New Roman" w:hAnsi="Times New Roman"/>
          <w:b/>
          <w:bCs/>
          <w:i w:val="false"/>
          <w:iCs w:val="false"/>
          <w:sz w:val="22"/>
          <w:szCs w:val="22"/>
        </w:rPr>
        <w:t xml:space="preserve">Yargıtay Hukuk Genel Kurulu, E. 2017/1446, K. 2021/65:</w:t>
      </w:r>
    </w:p>
    <w:p>
      <w:pPr>
        <w:pBdr>
          <w:left w:val="single" w:color="999999" w:sz="6" w:space="8"/>
        </w:pBdr>
        <w:spacing w:after="140" w:line="264"/>
        <w:ind w:left="576" w:right="288"/>
        <w:jc w:val="both"/>
      </w:pPr>
      <w:r>
        <w:rPr>
          <w:rFonts w:ascii="Times New Roman" w:cs="Times New Roman" w:eastAsia="Times New Roman" w:hAnsi="Times New Roman"/>
          <w:i/>
          <w:iCs/>
          <w:sz w:val="20"/>
          <w:szCs w:val="20"/>
        </w:rPr>
        <w:t xml:space="preserve">O hâlde satışın muvazaalı olduğunun kanıtlanmış olduğu eldeki davada, mahkemece İİK’nın 283/1 maddesi gözetilerek tapu iptaline gerek olmaksızın davacının alacağını alabilmesini sağlamak için dava konusu taşınmazın haciz ve satışını isteyebilmesi yönünde hüküm kurulmalıdır.</w:t>
      </w:r>
    </w:p>
    <w:p>
      <w:pPr>
        <w:spacing w:after="60" w:line="276"/>
        <w:jc w:val="both"/>
      </w:pPr>
      <w:r>
        <w:rPr>
          <w:rFonts w:ascii="Times New Roman" w:cs="Times New Roman" w:eastAsia="Times New Roman" w:hAnsi="Times New Roman"/>
          <w:b/>
          <w:bCs/>
          <w:i w:val="false"/>
          <w:iCs w:val="false"/>
          <w:sz w:val="22"/>
          <w:szCs w:val="22"/>
        </w:rPr>
        <w:t xml:space="preserve">Yargıtay 17. Hukuk Dairesi, E. 2018/5015, K. 2020/1686:</w:t>
      </w:r>
    </w:p>
    <w:p>
      <w:pPr>
        <w:pBdr>
          <w:left w:val="single" w:color="999999" w:sz="6" w:space="8"/>
        </w:pBdr>
        <w:spacing w:after="140" w:line="264"/>
        <w:ind w:left="576" w:right="288"/>
        <w:jc w:val="both"/>
      </w:pPr>
      <w:r>
        <w:rPr>
          <w:rFonts w:ascii="Times New Roman" w:cs="Times New Roman" w:eastAsia="Times New Roman" w:hAnsi="Times New Roman"/>
          <w:i/>
          <w:iCs/>
          <w:sz w:val="20"/>
          <w:szCs w:val="20"/>
        </w:rPr>
        <w:t xml:space="preserve">Davacının iddiasını kanıtlaması halinde ise iddianın taşınmazın aynına ilişkin olmadığı, alacağın tahsiline yönelik bulunduğu da gözetilerek İİK 283/1,2. maddesi kıyasen uygulanarak iptal ve tescile gerek olmaksızın davacının taşınmazların haciz ve satışını isteyebilmesi yönünden hüküm kurulması gerekecektir.</w:t>
      </w:r>
    </w:p>
    <w:p>
      <w:pPr>
        <w:spacing w:after="60" w:line="276"/>
        <w:jc w:val="both"/>
      </w:pPr>
      <w:r>
        <w:rPr>
          <w:rFonts w:ascii="Times New Roman" w:cs="Times New Roman" w:eastAsia="Times New Roman" w:hAnsi="Times New Roman"/>
          <w:b/>
          <w:bCs/>
          <w:i w:val="false"/>
          <w:iCs w:val="false"/>
          <w:sz w:val="22"/>
          <w:szCs w:val="22"/>
        </w:rPr>
        <w:t xml:space="preserve">Yargıtay 17. Hukuk Dairesi, E. 2019/1592, K. 2020/5514:</w:t>
      </w:r>
    </w:p>
    <w:p>
      <w:pPr>
        <w:pBdr>
          <w:left w:val="single" w:color="999999" w:sz="6" w:space="8"/>
        </w:pBdr>
        <w:spacing w:after="140" w:line="264"/>
        <w:ind w:left="576" w:right="288"/>
        <w:jc w:val="both"/>
      </w:pPr>
      <w:r>
        <w:rPr>
          <w:rFonts w:ascii="Times New Roman" w:cs="Times New Roman" w:eastAsia="Times New Roman" w:hAnsi="Times New Roman"/>
          <w:i/>
          <w:iCs/>
          <w:sz w:val="20"/>
          <w:szCs w:val="20"/>
        </w:rPr>
        <w:t xml:space="preserve">BK’nun 19. maddesine dayalı olarak açılan muvazaalı işlemin iptali davasından amaçlanan davacı alacaklıya alacağını tahsil etme imkanı olduğundan davanın kabulü halinde İİK’nun 283/1. maddesinin kıyasen uygulanması gerekmektedir. Anılan madde de “davacı iptal davası sabit olduğu takdirde bu davaya konu teşkil eden mal üzerinde cebri icra yolu ile hakkını almak yetkisini elde eder ....” hükmünü içermektedir.</w:t>
      </w:r>
    </w:p>
    <w:p>
      <w:pPr>
        <w:spacing w:after="60" w:line="276"/>
        <w:jc w:val="both"/>
      </w:pPr>
      <w:r>
        <w:rPr>
          <w:rFonts w:ascii="Times New Roman" w:cs="Times New Roman" w:eastAsia="Times New Roman" w:hAnsi="Times New Roman"/>
          <w:b/>
          <w:bCs/>
          <w:i w:val="false"/>
          <w:iCs w:val="false"/>
          <w:sz w:val="22"/>
          <w:szCs w:val="22"/>
        </w:rPr>
        <w:t xml:space="preserve">Yargıtay 17. Hukuk Dairesi, E. 2014/14266, K. 2016/4063:</w:t>
      </w:r>
    </w:p>
    <w:p>
      <w:pPr>
        <w:pBdr>
          <w:left w:val="single" w:color="999999" w:sz="6" w:space="8"/>
        </w:pBdr>
        <w:spacing w:after="140" w:line="264"/>
        <w:ind w:left="576" w:right="288"/>
        <w:jc w:val="both"/>
      </w:pPr>
      <w:r>
        <w:rPr>
          <w:rFonts w:ascii="Times New Roman" w:cs="Times New Roman" w:eastAsia="Times New Roman" w:hAnsi="Times New Roman"/>
          <w:i/>
          <w:iCs/>
          <w:sz w:val="20"/>
          <w:szCs w:val="20"/>
        </w:rPr>
        <w:t xml:space="preserve">Bu yönüyle dava, Borçlar Kanunun 18. maddesinde düzenlenmiş bulunan danışık (muvazaa) iddiasına dayalı tasarrufun iptali istemine ilişkindir. ... Ancak, davacının bu hakkı ayni değil şahsi bir sonuç doğuracağından, danışıklı işlemin kanıtlanması durumunda tapunun iptaline değil, kıyasen İİK’nun 283/1. maddesi gereğince, tapu iptali ve tescile gerek olmaksızın taşınmazın haciz ve satışına karar verilecektir. ... davalıların danışıklı bir davranış içinde bulundukları sonucuna varılması durumunda İİK’nun 283/1. maddesi kıyasen uygulanmak suretiyle, tapu iptaline gerek olmadan davacının alacağını tahsil edebilmesini sağlamak için dava konusu taşınmazın haciz ve satışını isteyebilmesi yönünde hüküm kurulmalıdır. Bu maddi ve hukuki olgular gözetilmeden yazılı şekilde hüküm kurulması bozmayı gerektirmiştir.</w:t>
      </w:r>
    </w:p>
    <w:p>
      <w:pPr>
        <w:spacing w:after="120" w:line="276"/>
        <w:jc w:val="both"/>
      </w:pPr>
      <w:r>
        <w:rPr>
          <w:rFonts w:ascii="Times New Roman" w:cs="Times New Roman" w:eastAsia="Times New Roman" w:hAnsi="Times New Roman"/>
          <w:b/>
          <w:bCs/>
          <w:i w:val="false"/>
          <w:iCs w:val="false"/>
          <w:sz w:val="22"/>
          <w:szCs w:val="22"/>
        </w:rPr>
        <w:t xml:space="preserve">2. TERDİTLİ TALEBİMİZ OLAN TASARRUFUN İPTALİ AÇISINDAN</w:t>
      </w:r>
    </w:p>
    <w:p>
      <w:pPr>
        <w:spacing w:after="120" w:line="276"/>
        <w:jc w:val="both"/>
      </w:pPr>
      <w:r>
        <w:rPr>
          <w:rFonts w:ascii="Times New Roman" w:cs="Times New Roman" w:eastAsia="Times New Roman" w:hAnsi="Times New Roman"/>
          <w:b w:val="false"/>
          <w:bCs w:val="false"/>
          <w:i w:val="false"/>
          <w:iCs w:val="false"/>
          <w:sz w:val="22"/>
          <w:szCs w:val="22"/>
        </w:rPr>
        <w:t xml:space="preserve">İİK m. 283/1 uyarınca davamızın kabulü hâlinde, tapu kaydının düzeltilmesine gerek kalmaksızın müvekkile taşınmazların haczini ve satışını talep etme yetkisi verilmelidir. Zira davamızda amaç müvekkilin alacağını tahsil etmektir.</w:t>
      </w:r>
    </w:p>
    <w:p>
      <w:pPr>
        <w:spacing w:after="60" w:line="276"/>
        <w:jc w:val="both"/>
      </w:pPr>
      <w:r>
        <w:rPr>
          <w:rFonts w:ascii="Times New Roman" w:cs="Times New Roman" w:eastAsia="Times New Roman" w:hAnsi="Times New Roman"/>
          <w:b/>
          <w:bCs/>
          <w:i w:val="false"/>
          <w:iCs w:val="false"/>
          <w:sz w:val="22"/>
          <w:szCs w:val="22"/>
        </w:rPr>
        <w:t xml:space="preserve">Yargıtay 17. Hukuk Dairesi, E. 2017/3535, K. 2020/4063:</w:t>
      </w:r>
    </w:p>
    <w:p>
      <w:pPr>
        <w:pBdr>
          <w:left w:val="single" w:color="999999" w:sz="6" w:space="8"/>
        </w:pBdr>
        <w:spacing w:after="140" w:line="264"/>
        <w:ind w:left="576" w:right="288"/>
        <w:jc w:val="both"/>
      </w:pPr>
      <w:r>
        <w:rPr>
          <w:rFonts w:ascii="Times New Roman" w:cs="Times New Roman" w:eastAsia="Times New Roman" w:hAnsi="Times New Roman"/>
          <w:i/>
          <w:iCs/>
          <w:sz w:val="20"/>
          <w:szCs w:val="20"/>
        </w:rPr>
        <w:t xml:space="preserve">Yine kabule göre; İİK’nun 277. ve izleyen maddelerinde iptal davasına konu tasarruflar özünde geçerli olmasına rağmen kanunun icra hukuku yönünden iptaline imkan verdiği tasarruflardır. Davacının iddiasını kanıtlaması halinde iddianın taşınmazın aynına ilişkin olmadığı, alacağın tahsiline yönelik bulunduğu da gözetilerek tapunun iptal ve tesciline gerek olmaksızın davacının taşınmazların haciz ve satışını isteyebilmesi yönünden hüküm kurulması gerekirken tapunun iptali ile davalı şirket adına tesciline karar verilmesi de doğru değildir.</w:t>
      </w:r>
    </w:p>
    <w:p>
      <w:pPr>
        <w:spacing w:after="140" w:before="280"/>
        <w:jc w:val="left"/>
      </w:pPr>
      <w:r>
        <w:rPr>
          <w:rFonts w:ascii="Times New Roman" w:cs="Times New Roman" w:eastAsia="Times New Roman" w:hAnsi="Times New Roman"/>
          <w:b/>
          <w:bCs/>
          <w:sz w:val="22"/>
          <w:szCs w:val="22"/>
        </w:rPr>
        <w:t xml:space="preserve">F- İHTİYATİ TEDBİR TALEBİMİZ</w:t>
      </w:r>
    </w:p>
    <w:p>
      <w:pPr>
        <w:spacing w:after="120" w:line="276"/>
        <w:jc w:val="both"/>
      </w:pPr>
      <w:r>
        <w:rPr>
          <w:rFonts w:ascii="Times New Roman" w:cs="Times New Roman" w:eastAsia="Times New Roman" w:hAnsi="Times New Roman"/>
          <w:b w:val="false"/>
          <w:bCs w:val="false"/>
          <w:i w:val="false"/>
          <w:iCs w:val="false"/>
          <w:sz w:val="22"/>
          <w:szCs w:val="22"/>
        </w:rPr>
        <w:t xml:space="preserve">6100 sayılı HMK’nın “İhtiyati tedbirde teminat gösterilmesi” başlıklı 392. maddesi şu şekildedir:</w:t>
      </w:r>
    </w:p>
    <w:p>
      <w:pPr>
        <w:pBdr>
          <w:left w:val="single" w:color="999999" w:sz="6" w:space="8"/>
        </w:pBdr>
        <w:spacing w:after="140" w:line="264"/>
        <w:ind w:left="576" w:right="288"/>
        <w:jc w:val="both"/>
      </w:pPr>
      <w:r>
        <w:rPr>
          <w:rFonts w:ascii="Times New Roman" w:cs="Times New Roman" w:eastAsia="Times New Roman" w:hAnsi="Times New Roman"/>
          <w:i/>
          <w:iCs/>
          <w:sz w:val="20"/>
          <w:szCs w:val="20"/>
        </w:rPr>
        <w:t xml:space="preserve">İhtiyati tedbir talep eden, haksız çıktığı takdirde karşı tarafın ve üçüncü kişilerin bu yüzden uğrayacakları muhtemel zararlara karşılık teminat göstermek zorundadır. Talep, resmî belgeye, başkaca kesin bir delile dayanıyor yahut durum ve koşullar gerektiriyorsa, mahkeme gerekçesini açıkça belirtmek şartıyla teminat alınmamasına da karar verebilir.</w:t>
      </w:r>
    </w:p>
    <w:p>
      <w:pPr>
        <w:spacing w:after="120" w:line="276"/>
        <w:jc w:val="both"/>
      </w:pPr>
      <w:r>
        <w:rPr>
          <w:rFonts w:ascii="Times New Roman" w:cs="Times New Roman" w:eastAsia="Times New Roman" w:hAnsi="Times New Roman"/>
          <w:b w:val="false"/>
          <w:bCs w:val="false"/>
          <w:i w:val="false"/>
          <w:iCs w:val="false"/>
          <w:sz w:val="22"/>
          <w:szCs w:val="22"/>
        </w:rPr>
        <w:t xml:space="preserve">Dosya kapsamından davalıların mal kaçırma kastıyla hareket ettikleri açıktır. Talebimiz tapu kayıtları ve icra dosyası gibi resmî belgelere dayanmaktadır. Davamızın kabul edilme olasılığı yüksek olup, taşınmazların bir kez daha devri hâlinde telafisi imkânsız zararlar doğacaktır. Sayılan sebeplerle TEMİNATSIZ olarak, dava konusu taşınmazlar ve paylar üzerine devir yasağı şeklinde ihtiyati tedbir kararı verilmesini talep ederiz.</w:t>
      </w:r>
    </w:p>
    <w:p>
      <w:pPr>
        <w:spacing w:after="140" w:before="280"/>
        <w:jc w:val="left"/>
      </w:pPr>
      <w:r>
        <w:rPr>
          <w:rFonts w:ascii="Times New Roman" w:cs="Times New Roman" w:eastAsia="Times New Roman" w:hAnsi="Times New Roman"/>
          <w:b/>
          <w:bCs/>
          <w:sz w:val="22"/>
          <w:szCs w:val="22"/>
        </w:rPr>
        <w:t xml:space="preserve">HUKUKİ SEBEPLER</w:t>
      </w:r>
    </w:p>
    <w:p>
      <w:pPr>
        <w:spacing w:after="120" w:line="276"/>
        <w:jc w:val="both"/>
      </w:pPr>
      <w:r>
        <w:rPr>
          <w:rFonts w:ascii="Times New Roman" w:cs="Times New Roman" w:eastAsia="Times New Roman" w:hAnsi="Times New Roman"/>
          <w:b w:val="false"/>
          <w:bCs w:val="false"/>
          <w:i w:val="false"/>
          <w:iCs w:val="false"/>
          <w:sz w:val="22"/>
          <w:szCs w:val="22"/>
        </w:rPr>
        <w:t xml:space="preserve">4721 sayılı Türk Medeni Kanunu, 6098 sayılı Türk Borçlar Kanunu, 6100 sayılı Hukuk Muhakemeleri Kanunu, 2004 sayılı İcra ve İflas Kanunu ve ilgili yasal mevzuat.</w:t>
      </w:r>
    </w:p>
    <w:p>
      <w:pPr>
        <w:spacing w:after="140" w:before="280"/>
        <w:jc w:val="left"/>
      </w:pPr>
      <w:r>
        <w:rPr>
          <w:rFonts w:ascii="Times New Roman" w:cs="Times New Roman" w:eastAsia="Times New Roman" w:hAnsi="Times New Roman"/>
          <w:b/>
          <w:bCs/>
          <w:sz w:val="22"/>
          <w:szCs w:val="22"/>
        </w:rPr>
        <w:t xml:space="preserve">HUKUKİ DELİLLER</w:t>
      </w:r>
    </w:p>
    <w:p>
      <w:pPr>
        <w:spacing w:after="120" w:line="276"/>
        <w:jc w:val="both"/>
      </w:pPr>
      <w:r>
        <w:rPr>
          <w:rFonts w:ascii="Times New Roman" w:cs="Times New Roman" w:eastAsia="Times New Roman" w:hAnsi="Times New Roman"/>
          <w:b w:val="false"/>
          <w:bCs w:val="false"/>
          <w:i w:val="false"/>
          <w:iCs w:val="false"/>
          <w:sz w:val="22"/>
          <w:szCs w:val="22"/>
        </w:rPr>
        <w:t xml:space="preserve">Tapu kayıtları, nüfus kayıtları, (…) İcra Dairesi’nin (…) E. sayılı icra dosyası, (…) Aile Mahkemesi’nin (…) E. sayılı dosyası, haciz tutanakları, kolluk araştırma tutanakları, belediye kayıtları, vergi dairesi kayıtları, SGK kayıtları, iletişim operatörü kayıtları, banka kayıtları, keşif, tanık, bilirkişi incelemesi ve her türlü yasal delil.</w:t>
      </w:r>
    </w:p>
    <w:p>
      <w:pPr>
        <w:spacing w:after="140" w:before="280"/>
        <w:jc w:val="left"/>
      </w:pPr>
      <w:r>
        <w:rPr>
          <w:rFonts w:ascii="Times New Roman" w:cs="Times New Roman" w:eastAsia="Times New Roman" w:hAnsi="Times New Roman"/>
          <w:b/>
          <w:bCs/>
          <w:sz w:val="22"/>
          <w:szCs w:val="22"/>
        </w:rPr>
        <w:t xml:space="preserve">SONUÇ VE İSTEM</w:t>
      </w:r>
    </w:p>
    <w:p>
      <w:pPr>
        <w:spacing w:after="120" w:line="276"/>
        <w:jc w:val="both"/>
      </w:pPr>
      <w:r>
        <w:rPr>
          <w:rFonts w:ascii="Times New Roman" w:cs="Times New Roman" w:eastAsia="Times New Roman" w:hAnsi="Times New Roman"/>
          <w:b w:val="false"/>
          <w:bCs w:val="false"/>
          <w:i w:val="false"/>
          <w:iCs w:val="false"/>
          <w:sz w:val="22"/>
          <w:szCs w:val="22"/>
        </w:rPr>
        <w:t xml:space="preserve">Yukarıda arz ve izah edilen ve resen dikkate alınacak nedenlerle davamızın kabulüne;</w:t>
      </w:r>
    </w:p>
    <w:p>
      <w:pPr>
        <w:spacing w:after="120" w:line="276"/>
        <w:jc w:val="both"/>
      </w:pPr>
      <w:r>
        <w:rPr>
          <w:rFonts w:ascii="Times New Roman" w:cs="Times New Roman" w:eastAsia="Times New Roman" w:hAnsi="Times New Roman"/>
          <w:b w:val="false"/>
          <w:bCs w:val="false"/>
          <w:i w:val="false"/>
          <w:iCs w:val="false"/>
          <w:sz w:val="22"/>
          <w:szCs w:val="22"/>
        </w:rPr>
        <w:t xml:space="preserve">1. Yargılama süresinde taşınmazların devredilebileceği ihtimalinden dolayı devri engellemek amacıyla; (…) ili, (…) ilçesi, (…) Mahallesi, (…) Ada, (…) Parsel (…) numaralı bağımsız bölüm ile (…) Ada, (…) Parsel ve (…) Ada, (…) Parselde davalılar adına kayıtlı tüm taşınmazlar ve paylar üzerine, devirlerini engellemek için TEMİNATSIZ olarak ihtiyati tedbir konulmasına,</w:t>
      </w:r>
    </w:p>
    <w:p>
      <w:pPr>
        <w:spacing w:after="120" w:line="276"/>
        <w:jc w:val="both"/>
      </w:pPr>
      <w:r>
        <w:rPr>
          <w:rFonts w:ascii="Times New Roman" w:cs="Times New Roman" w:eastAsia="Times New Roman" w:hAnsi="Times New Roman"/>
          <w:b w:val="false"/>
          <w:bCs w:val="false"/>
          <w:i w:val="false"/>
          <w:iCs w:val="false"/>
          <w:sz w:val="22"/>
          <w:szCs w:val="22"/>
        </w:rPr>
        <w:t xml:space="preserve">2. Öncelikli olarak dava konusu taşınmazların devirlerinin muvazaalı olması sebebiyle TBK m. 19 uyarınca, aksi hâlde terditli olarak İİK m. 277 ve devamı hükümleri uyarınca tasarrufun iptali sebebiyle; yukarıda künyeleri yazılı taşınmazlar üzerinde müvekkile, (…) İcra Dairesi’nin (…) E. sayılı dosyası üzerinden ve işbu dosya kapsamındaki ilamın yargılama giderleri ile vekâlet ücretine istinaden yapılacak icra takibi dosyasından HACİZ VE SATIŞ YETKİSİ VERİLMESİNE,</w:t>
      </w:r>
    </w:p>
    <w:p>
      <w:pPr>
        <w:spacing w:after="120" w:line="276"/>
        <w:jc w:val="both"/>
      </w:pPr>
      <w:r>
        <w:rPr>
          <w:rFonts w:ascii="Times New Roman" w:cs="Times New Roman" w:eastAsia="Times New Roman" w:hAnsi="Times New Roman"/>
          <w:b w:val="false"/>
          <w:bCs w:val="false"/>
          <w:i w:val="false"/>
          <w:iCs w:val="false"/>
          <w:sz w:val="22"/>
          <w:szCs w:val="22"/>
        </w:rPr>
        <w:t xml:space="preserve">3. Yargılama gideri ve vekâlet ücretinin davalılar üzerinde bırakılmasına karar verilmesini vekâleten arz ve talep ederiz. (…/…/20…)</w:t>
      </w:r>
    </w:p>
    <w:p>
      <w:pPr>
        <w:spacing w:after="120"/>
      </w:pPr>
      <w:r>
        <w:rPr>
          <w:rFonts w:ascii="Times New Roman" w:cs="Times New Roman" w:eastAsia="Times New Roman" w:hAnsi="Times New Roman"/>
          <w:sz w:val="22"/>
          <w:szCs w:val="22"/>
        </w:rPr>
        <w:t xml:space="preserve"/>
      </w:r>
    </w:p>
    <w:p>
      <w:pPr>
        <w:spacing w:after="40" w:line="276"/>
        <w:jc w:val="right"/>
      </w:pPr>
      <w:r>
        <w:rPr>
          <w:rFonts w:ascii="Times New Roman" w:cs="Times New Roman" w:eastAsia="Times New Roman" w:hAnsi="Times New Roman"/>
          <w:b w:val="false"/>
          <w:bCs w:val="false"/>
          <w:i w:val="false"/>
          <w:iCs w:val="false"/>
          <w:sz w:val="22"/>
          <w:szCs w:val="22"/>
        </w:rPr>
        <w:t xml:space="preserve">Davacı Vekili</w:t>
      </w:r>
    </w:p>
    <w:p>
      <w:pPr>
        <w:spacing w:after="120" w:line="276"/>
        <w:jc w:val="right"/>
      </w:pPr>
      <w:r>
        <w:rPr>
          <w:rFonts w:ascii="Times New Roman" w:cs="Times New Roman" w:eastAsia="Times New Roman" w:hAnsi="Times New Roman"/>
          <w:b w:val="false"/>
          <w:bCs w:val="false"/>
          <w:i w:val="false"/>
          <w:iCs w:val="false"/>
          <w:sz w:val="22"/>
          <w:szCs w:val="22"/>
        </w:rPr>
        <w:t xml:space="preserve">Av. (Ad Soyad)</w:t>
      </w:r>
    </w:p>
    <w:p>
      <w:pPr>
        <w:spacing w:after="140" w:before="280"/>
        <w:jc w:val="left"/>
      </w:pPr>
      <w:r>
        <w:rPr>
          <w:rFonts w:ascii="Times New Roman" w:cs="Times New Roman" w:eastAsia="Times New Roman" w:hAnsi="Times New Roman"/>
          <w:b/>
          <w:bCs/>
          <w:sz w:val="22"/>
          <w:szCs w:val="22"/>
        </w:rPr>
        <w:t xml:space="preserve">TENSİPLE BERABER CELP EDİLMESİNİ TALEP ETTİĞİMİZ DELİLLER</w:t>
      </w:r>
    </w:p>
    <w:p>
      <w:pPr>
        <w:spacing w:after="80" w:line="276"/>
        <w:jc w:val="both"/>
      </w:pPr>
      <w:r>
        <w:rPr>
          <w:rFonts w:ascii="Times New Roman" w:cs="Times New Roman" w:eastAsia="Times New Roman" w:hAnsi="Times New Roman"/>
          <w:b w:val="false"/>
          <w:bCs w:val="false"/>
          <w:i w:val="false"/>
          <w:iCs w:val="false"/>
          <w:sz w:val="22"/>
          <w:szCs w:val="22"/>
        </w:rPr>
        <w:t xml:space="preserve">1 - UYAP sistemi üzerinden davalıların detaylı nüfus kayıt örneklerinin çıkarılarak dosya arasına konması.</w:t>
      </w:r>
    </w:p>
    <w:p>
      <w:pPr>
        <w:spacing w:after="80" w:line="276"/>
        <w:jc w:val="both"/>
      </w:pPr>
      <w:r>
        <w:rPr>
          <w:rFonts w:ascii="Times New Roman" w:cs="Times New Roman" w:eastAsia="Times New Roman" w:hAnsi="Times New Roman"/>
          <w:b w:val="false"/>
          <w:bCs w:val="false"/>
          <w:i w:val="false"/>
          <w:iCs w:val="false"/>
          <w:sz w:val="22"/>
          <w:szCs w:val="22"/>
        </w:rPr>
        <w:t xml:space="preserve">2 - İlgili tapu müdürlüğüne müzekkere yazılarak, dava konusu taşınmazların geriye dönük aktif ve pasif tüm kayıtlarının, borçludan itibaren tüm satış akitleri de dâhil olmak üzere celbi.</w:t>
      </w:r>
    </w:p>
    <w:p>
      <w:pPr>
        <w:spacing w:after="80" w:line="276"/>
        <w:jc w:val="both"/>
      </w:pPr>
      <w:r>
        <w:rPr>
          <w:rFonts w:ascii="Times New Roman" w:cs="Times New Roman" w:eastAsia="Times New Roman" w:hAnsi="Times New Roman"/>
          <w:b w:val="false"/>
          <w:bCs w:val="false"/>
          <w:i w:val="false"/>
          <w:iCs w:val="false"/>
          <w:sz w:val="22"/>
          <w:szCs w:val="22"/>
        </w:rPr>
        <w:t xml:space="preserve">3 - (…) Aile Mahkemesi’nin (…) E. – (…) K. sayılı dosyasının celbi.</w:t>
      </w:r>
    </w:p>
    <w:p>
      <w:pPr>
        <w:spacing w:after="80" w:line="276"/>
        <w:jc w:val="both"/>
      </w:pPr>
      <w:r>
        <w:rPr>
          <w:rFonts w:ascii="Times New Roman" w:cs="Times New Roman" w:eastAsia="Times New Roman" w:hAnsi="Times New Roman"/>
          <w:b w:val="false"/>
          <w:bCs w:val="false"/>
          <w:i w:val="false"/>
          <w:iCs w:val="false"/>
          <w:sz w:val="22"/>
          <w:szCs w:val="22"/>
        </w:rPr>
        <w:t xml:space="preserve">4 - (…) İcra Dairesi’nin (…) E. sayılı icra dosyasının celbi.</w:t>
      </w:r>
    </w:p>
    <w:p>
      <w:pPr>
        <w:spacing w:after="80" w:line="276"/>
        <w:jc w:val="both"/>
      </w:pPr>
      <w:r>
        <w:rPr>
          <w:rFonts w:ascii="Times New Roman" w:cs="Times New Roman" w:eastAsia="Times New Roman" w:hAnsi="Times New Roman"/>
          <w:b w:val="false"/>
          <w:bCs w:val="false"/>
          <w:i w:val="false"/>
          <w:iCs w:val="false"/>
          <w:sz w:val="22"/>
          <w:szCs w:val="22"/>
        </w:rPr>
        <w:t xml:space="preserve">5 - Davalıların tamamının işe giriş çıkış bildirgeleri ve işveren bilgileri dâhil tüm SGK kayıtlarının celbi.</w:t>
      </w:r>
    </w:p>
    <w:p>
      <w:pPr>
        <w:spacing w:after="80" w:line="276"/>
        <w:jc w:val="both"/>
      </w:pPr>
      <w:r>
        <w:rPr>
          <w:rFonts w:ascii="Times New Roman" w:cs="Times New Roman" w:eastAsia="Times New Roman" w:hAnsi="Times New Roman"/>
          <w:b w:val="false"/>
          <w:bCs w:val="false"/>
          <w:i w:val="false"/>
          <w:iCs w:val="false"/>
          <w:sz w:val="22"/>
          <w:szCs w:val="22"/>
        </w:rPr>
        <w:t xml:space="preserve">6 - İlgili belediyeye yazı yazılarak dava konusu taşınmazların numarataj bilgilerinin celbi.</w:t>
      </w:r>
    </w:p>
    <w:p>
      <w:pPr>
        <w:spacing w:after="80" w:line="276"/>
        <w:jc w:val="both"/>
      </w:pPr>
      <w:r>
        <w:rPr>
          <w:rFonts w:ascii="Times New Roman" w:cs="Times New Roman" w:eastAsia="Times New Roman" w:hAnsi="Times New Roman"/>
          <w:b w:val="false"/>
          <w:bCs w:val="false"/>
          <w:i w:val="false"/>
          <w:iCs w:val="false"/>
          <w:sz w:val="22"/>
          <w:szCs w:val="22"/>
        </w:rPr>
        <w:t xml:space="preserve">7 - Numarataj bilgileri geldikten sonra vergi dairesine yazı yazılarak, bu numaratajlarda tesis edilen vergi açılışlarına dair mükellefiyet bilgilerinin, kuruma bildirilen kira sözleşmelerinin ve kira sözleşmelerine dair stopajların kim ya da kimler tarafından ödendiğinin bilgi ve belgeleriyle celbi.</w:t>
      </w:r>
    </w:p>
    <w:p>
      <w:pPr>
        <w:spacing w:after="80" w:line="276"/>
        <w:jc w:val="both"/>
      </w:pPr>
      <w:r>
        <w:rPr>
          <w:rFonts w:ascii="Times New Roman" w:cs="Times New Roman" w:eastAsia="Times New Roman" w:hAnsi="Times New Roman"/>
          <w:b w:val="false"/>
          <w:bCs w:val="false"/>
          <w:i w:val="false"/>
          <w:iCs w:val="false"/>
          <w:sz w:val="22"/>
          <w:szCs w:val="22"/>
        </w:rPr>
        <w:t xml:space="preserve">8 - Vergi dairesi cevabından sonra ilgili vergi mükelleflerine müzekkere yazılarak kira ödemelerini kime yaptıklarının sorulması.</w:t>
      </w:r>
    </w:p>
    <w:p>
      <w:pPr>
        <w:spacing w:after="80" w:line="276"/>
        <w:jc w:val="both"/>
      </w:pPr>
      <w:r>
        <w:rPr>
          <w:rFonts w:ascii="Times New Roman" w:cs="Times New Roman" w:eastAsia="Times New Roman" w:hAnsi="Times New Roman"/>
          <w:b w:val="false"/>
          <w:bCs w:val="false"/>
          <w:i w:val="false"/>
          <w:iCs w:val="false"/>
          <w:sz w:val="22"/>
          <w:szCs w:val="22"/>
        </w:rPr>
        <w:t xml:space="preserve">9 - Kolluk tarafından, davalılara ve davalıların aile bireylerine sorulmadan titiz bir çalışma yapılması ile; dava konusu taşınmazların davalılara isabet eden kısımlarının kimler tarafından kullanıldığı, burada kirada iseler kira ödemelerini kime ne şekilde yaptıklarının belgeleriyle tespiti.</w:t>
      </w:r>
    </w:p>
    <w:p>
      <w:pPr>
        <w:spacing w:after="80" w:line="276"/>
        <w:jc w:val="both"/>
      </w:pPr>
      <w:r>
        <w:rPr>
          <w:rFonts w:ascii="Times New Roman" w:cs="Times New Roman" w:eastAsia="Times New Roman" w:hAnsi="Times New Roman"/>
          <w:b w:val="false"/>
          <w:bCs w:val="false"/>
          <w:i w:val="false"/>
          <w:iCs w:val="false"/>
          <w:sz w:val="22"/>
          <w:szCs w:val="22"/>
        </w:rPr>
        <w:t xml:space="preserve">10 - Kolluk tarafından, davalının aile üyeleri dışındaki kişilere sorularak, borçlunun fiilen işlettiği işletmenin ve şubelerinin bulunduğu adreslerde kimler tarafından işletildiğine dair sosyal ve ekonomik durum araştırması yapılması.</w:t>
      </w:r>
    </w:p>
    <w:p>
      <w:pPr>
        <w:spacing w:after="80" w:line="276"/>
        <w:jc w:val="both"/>
      </w:pPr>
      <w:r>
        <w:rPr>
          <w:rFonts w:ascii="Times New Roman" w:cs="Times New Roman" w:eastAsia="Times New Roman" w:hAnsi="Times New Roman"/>
          <w:b w:val="false"/>
          <w:bCs w:val="false"/>
          <w:i w:val="false"/>
          <w:iCs w:val="false"/>
          <w:sz w:val="22"/>
          <w:szCs w:val="22"/>
        </w:rPr>
        <w:t xml:space="preserve">11 - Kolluk tarafından titiz bir çalışma yapılması ile, dava konusu taşınmazların davalı borçlu tarafından satılmasını gerektirir bir ihtiyacının olup olmadığının araştırılması.</w:t>
      </w:r>
    </w:p>
    <w:p>
      <w:pPr>
        <w:spacing w:after="80" w:line="276"/>
        <w:jc w:val="both"/>
      </w:pPr>
      <w:r>
        <w:rPr>
          <w:rFonts w:ascii="Times New Roman" w:cs="Times New Roman" w:eastAsia="Times New Roman" w:hAnsi="Times New Roman"/>
          <w:b w:val="false"/>
          <w:bCs w:val="false"/>
          <w:i w:val="false"/>
          <w:iCs w:val="false"/>
          <w:sz w:val="22"/>
          <w:szCs w:val="22"/>
        </w:rPr>
        <w:t xml:space="preserve">12 - Davalılara sorulmaksızın, taşınmazları devralan davalıların dava konusu taşınmazları satın alabilecek kadar malvarlıklarının bulunup bulunmadığına dair kolluk araştırması yapılması.</w:t>
      </w:r>
    </w:p>
    <w:p>
      <w:pPr>
        <w:spacing w:after="80" w:line="276"/>
        <w:jc w:val="both"/>
      </w:pPr>
      <w:r>
        <w:rPr>
          <w:rFonts w:ascii="Times New Roman" w:cs="Times New Roman" w:eastAsia="Times New Roman" w:hAnsi="Times New Roman"/>
          <w:b w:val="false"/>
          <w:bCs w:val="false"/>
          <w:i w:val="false"/>
          <w:iCs w:val="false"/>
          <w:sz w:val="22"/>
          <w:szCs w:val="22"/>
        </w:rPr>
        <w:t xml:space="preserve">13 - Davalıların banka hesaplarının UYAP sisteminden tespiti ile bu hesapların hesap hareketlerinin celbi.</w:t>
      </w:r>
    </w:p>
    <w:p>
      <w:pPr>
        <w:spacing w:after="80" w:line="276"/>
        <w:jc w:val="both"/>
      </w:pPr>
      <w:r>
        <w:rPr>
          <w:rFonts w:ascii="Times New Roman" w:cs="Times New Roman" w:eastAsia="Times New Roman" w:hAnsi="Times New Roman"/>
          <w:b w:val="false"/>
          <w:bCs w:val="false"/>
          <w:i w:val="false"/>
          <w:iCs w:val="false"/>
          <w:sz w:val="22"/>
          <w:szCs w:val="22"/>
        </w:rPr>
        <w:t xml:space="preserve">14 - Davalılar arasında akrabalık, komşuluk, iş ortaklığı vb. bir ilişki olup olmadığına dair kolluk araştırması yapılması.</w:t>
      </w:r>
    </w:p>
    <w:p>
      <w:pPr>
        <w:spacing w:after="80" w:line="276"/>
        <w:jc w:val="both"/>
      </w:pPr>
      <w:r>
        <w:rPr>
          <w:rFonts w:ascii="Times New Roman" w:cs="Times New Roman" w:eastAsia="Times New Roman" w:hAnsi="Times New Roman"/>
          <w:b w:val="false"/>
          <w:bCs w:val="false"/>
          <w:i w:val="false"/>
          <w:iCs w:val="false"/>
          <w:sz w:val="22"/>
          <w:szCs w:val="22"/>
        </w:rPr>
        <w:t xml:space="preserve">15 - Nüfus müdürlüğüne yazı yazılarak davalılar arasında akrabalık ilişkisi olup olmadığının sorulması.</w:t>
      </w:r>
    </w:p>
    <w:p>
      <w:pPr>
        <w:spacing w:after="80" w:line="276"/>
        <w:jc w:val="both"/>
      </w:pPr>
      <w:r>
        <w:rPr>
          <w:rFonts w:ascii="Times New Roman" w:cs="Times New Roman" w:eastAsia="Times New Roman" w:hAnsi="Times New Roman"/>
          <w:b w:val="false"/>
          <w:bCs w:val="false"/>
          <w:i w:val="false"/>
          <w:iCs w:val="false"/>
          <w:sz w:val="22"/>
          <w:szCs w:val="22"/>
        </w:rPr>
        <w:t xml:space="preserve">16 - Davalılar adına kayıtlı GSM aboneliklerinin tespiti ile bu kişiler arasındaki arama, arandı ve baz kayıtlarının celbi.</w:t>
      </w:r>
    </w:p>
    <w:p>
      <w:pPr>
        <w:spacing w:after="80" w:line="276"/>
        <w:jc w:val="both"/>
      </w:pPr>
      <w:r>
        <w:rPr>
          <w:rFonts w:ascii="Times New Roman" w:cs="Times New Roman" w:eastAsia="Times New Roman" w:hAnsi="Times New Roman"/>
          <w:b w:val="false"/>
          <w:bCs w:val="false"/>
          <w:i w:val="false"/>
          <w:iCs w:val="false"/>
          <w:sz w:val="22"/>
          <w:szCs w:val="22"/>
        </w:rPr>
        <w:t xml:space="preserve">17 - Dava konusu taşınmazların devir tarihindeki gerçek değerinin tespiti için keşif yapılması ve bilirkişi incelemesi.</w:t>
      </w:r>
    </w:p>
    <w:p>
      <w:pPr>
        <w:spacing w:after="120"/>
      </w:pPr>
      <w:r>
        <w:rPr>
          <w:rFonts w:ascii="Times New Roman" w:cs="Times New Roman" w:eastAsia="Times New Roman" w:hAnsi="Times New Roman"/>
          <w:sz w:val="22"/>
          <w:szCs w:val="22"/>
        </w:rPr>
        <w:t xml:space="preserve"/>
      </w:r>
    </w:p>
    <w:p>
      <w:pPr>
        <w:pBdr>
          <w:top w:val="single" w:color="BBBBBB" w:sz="6" w:space="10"/>
        </w:pBdr>
        <w:spacing w:before="240"/>
        <w:jc w:val="both"/>
      </w:pPr>
      <w:r>
        <w:rPr>
          <w:rFonts w:ascii="Times New Roman" w:cs="Times New Roman" w:eastAsia="Times New Roman" w:hAnsi="Times New Roman"/>
          <w:i/>
          <w:iCs/>
          <w:color w:val="555555"/>
          <w:sz w:val="18"/>
          <w:szCs w:val="18"/>
        </w:rPr>
        <w:t xml:space="preserve">Bilgilendirme notu: Bu metin, gerçek bir dosyadan uyarlanmış ve kimliği belirlenebilir bütün bilgiler kaldırılmış bir şablondur. Hukuki tavsiye niteliği taşımaz. Tarihler, taraflar, taşınmaz künyeleri ve delil listesi kendi dosyanıza göre yeniden kurulmalıdır. Kaynak: ferhatsatan.com</w:t>
      </w:r>
    </w:p>
    <w:sectPr>
      <w:pgSz w:w="11906" w:h="16838" w:orient="portrait"/>
      <w:pgMar w:top="1134" w:right="1134" w:bottom="1134"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2026-09-09T12:27:54.900Z</dcterms:created>
  <dcterms:modified xsi:type="dcterms:W3CDTF">2026-09-09T12:27:54.922Z</dcterms:modified>
</cp:coreProperties>
</file>

<file path=docProps/custom.xml><?xml version="1.0" encoding="utf-8"?>
<Properties xmlns="http://schemas.openxmlformats.org/officeDocument/2006/custom-properties" xmlns:vt="http://schemas.openxmlformats.org/officeDocument/2006/docPropsVTypes"/>
</file>