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KİRA SÖZLEŞMESİ EK PROTOKOLÜ (SÜRE UZATMA, BEDEL GÜNCELLEME VE KİRACI DEĞİŞİKLİĞİ)</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Asıl sözleşme</w:t>
            </w:r>
          </w:p>
        </w:tc>
        <w:tc>
          <w:tcPr>
            <w:tcW w:type="dxa" w:w="6463"/>
          </w:tcPr>
          <w:p>
            <w:r>
              <w:rPr>
                <w:rFonts w:ascii="Times New Roman" w:hAnsi="Times New Roman"/>
                <w:b w:val="0"/>
                <w:sz w:val="20"/>
              </w:rPr>
              <w:t>[GG.AA.YYYY] tarihli, [adres] için düzenlenmiş kira sözleşmesi</w:t>
            </w:r>
          </w:p>
        </w:tc>
      </w:tr>
      <w:tr>
        <w:tc>
          <w:tcPr>
            <w:tcW w:type="dxa" w:w="2948"/>
          </w:tcPr>
          <w:p>
            <w:r>
              <w:rPr>
                <w:rFonts w:ascii="Times New Roman" w:hAnsi="Times New Roman"/>
                <w:b/>
                <w:sz w:val="20"/>
              </w:rPr>
              <w:t>Kiraya veren</w:t>
            </w:r>
          </w:p>
        </w:tc>
        <w:tc>
          <w:tcPr>
            <w:tcW w:type="dxa" w:w="6463"/>
          </w:tcPr>
          <w:p>
            <w:r>
              <w:rPr>
                <w:rFonts w:ascii="Times New Roman" w:hAnsi="Times New Roman"/>
                <w:b w:val="0"/>
                <w:sz w:val="20"/>
              </w:rPr>
              <w:t>[AD SOYAD] — T.C. Kimlik No: [ ]</w:t>
            </w:r>
          </w:p>
        </w:tc>
      </w:tr>
      <w:tr>
        <w:tc>
          <w:tcPr>
            <w:tcW w:type="dxa" w:w="2948"/>
          </w:tcPr>
          <w:p>
            <w:r>
              <w:rPr>
                <w:rFonts w:ascii="Times New Roman" w:hAnsi="Times New Roman"/>
                <w:b/>
                <w:sz w:val="20"/>
              </w:rPr>
              <w:t>Mevcut kiracı</w:t>
            </w:r>
          </w:p>
        </w:tc>
        <w:tc>
          <w:tcPr>
            <w:tcW w:type="dxa" w:w="6463"/>
          </w:tcPr>
          <w:p>
            <w:r>
              <w:rPr>
                <w:rFonts w:ascii="Times New Roman" w:hAnsi="Times New Roman"/>
                <w:b w:val="0"/>
                <w:sz w:val="20"/>
              </w:rPr>
              <w:t>[AD SOYAD] — T.C. Kimlik No: [ ]</w:t>
            </w:r>
          </w:p>
        </w:tc>
      </w:tr>
      <w:tr>
        <w:tc>
          <w:tcPr>
            <w:tcW w:type="dxa" w:w="2948"/>
          </w:tcPr>
          <w:p>
            <w:r>
              <w:rPr>
                <w:rFonts w:ascii="Times New Roman" w:hAnsi="Times New Roman"/>
                <w:b/>
                <w:sz w:val="20"/>
              </w:rPr>
              <w:t>Yeni kiracı (devir varsa)</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Protokol tarihi</w:t>
            </w:r>
          </w:p>
        </w:tc>
        <w:tc>
          <w:tcPr>
            <w:tcW w:type="dxa" w:w="6463"/>
          </w:tcPr>
          <w:p>
            <w:r>
              <w:rPr>
                <w:rFonts w:ascii="Times New Roman" w:hAnsi="Times New Roman"/>
                <w:b w:val="0"/>
                <w:sz w:val="20"/>
              </w:rPr>
              <w:t>[GG.AA.YYYY]</w:t>
            </w:r>
          </w:p>
        </w:tc>
      </w:tr>
      <w:tr>
        <w:tc>
          <w:tcPr>
            <w:tcW w:type="dxa" w:w="2948"/>
          </w:tcPr>
          <w:p>
            <w:r>
              <w:rPr>
                <w:rFonts w:ascii="Times New Roman" w:hAnsi="Times New Roman"/>
                <w:b/>
                <w:sz w:val="20"/>
              </w:rPr>
              <w:t>Protokolün konusu</w:t>
            </w:r>
          </w:p>
        </w:tc>
        <w:tc>
          <w:tcPr>
            <w:tcW w:type="dxa" w:w="6463"/>
          </w:tcPr>
          <w:p>
            <w:r>
              <w:rPr>
                <w:rFonts w:ascii="Times New Roman" w:hAnsi="Times New Roman"/>
                <w:b w:val="0"/>
                <w:sz w:val="20"/>
              </w:rPr>
              <w:t>[Süre uzatma] [Kira bedeli güncelleme] [Demirbaş listesi güncelleme] [Kiracı değişikliği] — uygulananlar işaretlenir</w:t>
            </w:r>
          </w:p>
        </w:tc>
      </w:tr>
    </w:tbl>
    <w:p/>
    <w:p>
      <w:r>
        <w:rPr>
          <w:rFonts w:ascii="Times New Roman" w:hAnsi="Times New Roman"/>
          <w:b/>
          <w:sz w:val="24"/>
        </w:rPr>
        <w:t>SÖZLEŞME HÜKÜMLERİ</w:t>
      </w:r>
    </w:p>
    <w:p>
      <w:r>
        <w:rPr>
          <w:rFonts w:ascii="Times New Roman" w:hAnsi="Times New Roman"/>
          <w:b/>
          <w:sz w:val="22"/>
        </w:rPr>
        <w:t>Madde 1 — Protokolün konusu ve asıl sözleşmeyle ilişkisi</w:t>
      </w:r>
    </w:p>
    <w:p>
      <w:pPr>
        <w:jc w:val="both"/>
      </w:pPr>
      <w:r>
        <w:rPr>
          <w:rFonts w:ascii="Times New Roman" w:hAnsi="Times New Roman"/>
          <w:b w:val="0"/>
          <w:sz w:val="22"/>
        </w:rPr>
        <w:t>Taraflar, aralarındaki [GG.AA.YYYY] tarihli kira sözleşmesinde aşağıdaki değişiklikleri yapmak konusunda anlaşmışlardır. Bu protokol asıl sözleşmenin eki ve ayrılmaz parçasıdır; protokolde değiştirilmeyen bütün hükümler aynen yürürlüktedir. Protokol ile asıl sözleşme arasında çelişki olursa bu protokol uygulanır.</w:t>
      </w:r>
    </w:p>
    <w:p>
      <w:r>
        <w:rPr>
          <w:rFonts w:ascii="Times New Roman" w:hAnsi="Times New Roman"/>
          <w:b/>
          <w:sz w:val="22"/>
        </w:rPr>
        <w:t>Madde 2 — Süre uzatımı</w:t>
      </w:r>
    </w:p>
    <w:p>
      <w:pPr>
        <w:jc w:val="both"/>
      </w:pPr>
      <w:r>
        <w:rPr>
          <w:rFonts w:ascii="Times New Roman" w:hAnsi="Times New Roman"/>
          <w:b w:val="0"/>
          <w:sz w:val="22"/>
        </w:rPr>
        <w:t>Asıl sözleşmenin [GG.AA.YYYY] olan bitiş tarihi, aynı koşullarla [GG.AA.YYYY] tarihine kadar uzatılmıştır. Uzatılan sürenin sonunda konut ve çatılı işyeri kiralarında sözleşmenin kanun gereği birer yıl uzamasına ilişkin hükümler uygulanmaya devam eder; kiraya verenin sürenin bitimine dayanarak sözleşmeyi sona erdirme hakkı bulunmadığını taraflar bilmektedir.</w:t>
      </w:r>
    </w:p>
    <w:p>
      <w:r>
        <w:rPr>
          <w:rFonts w:ascii="Times New Roman" w:hAnsi="Times New Roman"/>
          <w:b/>
          <w:sz w:val="22"/>
        </w:rPr>
        <w:t>Madde 3 — Kira bedelinin güncellenmesi</w:t>
      </w:r>
    </w:p>
    <w:p>
      <w:pPr>
        <w:jc w:val="both"/>
      </w:pPr>
      <w:r>
        <w:rPr>
          <w:rFonts w:ascii="Times New Roman" w:hAnsi="Times New Roman"/>
          <w:b w:val="0"/>
          <w:sz w:val="22"/>
        </w:rPr>
        <w:t>[GG.AA.YYYY] tarihinden itibaren aylık kira bedeli [ ] TL olarak uygulanacaktır. Taraflar, bu artışın bir önceki kira yılının tüketici fiyat endeksindeki on iki aylık ortalamalara göre değişim oranını aşmadığını [beyan eder] / [kira ilişkisinin başlangıcından beş yıl geçmiş olduğundan bedelin emsal ve rayiç gözetilerek karşılıklı anlaşmayla belirlendiğini beyan eder]. Kira bedelinin belirlenmesi dışında kiracı aleyhine hiçbir değişiklik yapılmamıştır.</w:t>
      </w:r>
    </w:p>
    <w:p>
      <w:r>
        <w:rPr>
          <w:rFonts w:ascii="Times New Roman" w:hAnsi="Times New Roman"/>
          <w:b/>
          <w:sz w:val="22"/>
        </w:rPr>
        <w:t>Madde 4 — Kiracı değişikliği (kira ilişkisinin devri)</w:t>
      </w:r>
    </w:p>
    <w:p>
      <w:pPr>
        <w:jc w:val="both"/>
      </w:pPr>
      <w:r>
        <w:rPr>
          <w:rFonts w:ascii="Times New Roman" w:hAnsi="Times New Roman"/>
          <w:b w:val="0"/>
          <w:sz w:val="22"/>
        </w:rPr>
        <w:t>Kiraya verenin yazılı rızasıyla mevcut kiracı [AD SOYAD], asıl sözleşmeden doğan kira ilişkisini [GG.AA.YYYY] tarihinden itibaren yeni kiracı [AD SOYAD]’a devretmiştir. Yeni kiracı, asıl sözleşmede ve bu protokolde kiracıya ait bütün hak ve borçları üstlenir. Devreden kiracı, devir tarihine kadar doğmuş borçlardan sorumlu kalmaya devam eder; devir tarihinden sonraki borçlardan [konut kirasında] kurtulur. İşyeri kirasında devreden kiracı, asıl sözleşmenin bitimine kadar ve en fazla iki yıl süreyle devralanla birlikte müteselsilen sorumludur.</w:t>
      </w:r>
    </w:p>
    <w:p>
      <w:pPr>
        <w:jc w:val="both"/>
      </w:pPr>
      <w:r>
        <w:rPr>
          <w:rFonts w:ascii="Times New Roman" w:hAnsi="Times New Roman"/>
          <w:b w:val="0"/>
          <w:sz w:val="22"/>
        </w:rPr>
        <w:t>Devreden kiracının yatırdığı güvence bedeli, taraflar arasında [devralan kiracıya devredilmiştir / devredene iade edilmiş, devralan yeni güvence yatırmıştır]. Devreden kiracı, kiralananı devralan kiracıya Ek 1’deki tutanakla teslim etmiştir; bu teslim, kiraya verene karşı geri verme yerine geçer.</w:t>
      </w:r>
    </w:p>
    <w:p>
      <w:r>
        <w:rPr>
          <w:rFonts w:ascii="Times New Roman" w:hAnsi="Times New Roman"/>
          <w:b/>
          <w:sz w:val="22"/>
        </w:rPr>
        <w:t>Madde 5 — Demirbaş listesinin güncellenmesi</w:t>
      </w:r>
    </w:p>
    <w:p>
      <w:pPr>
        <w:jc w:val="both"/>
      </w:pPr>
      <w:r>
        <w:rPr>
          <w:rFonts w:ascii="Times New Roman" w:hAnsi="Times New Roman"/>
          <w:b w:val="0"/>
          <w:sz w:val="22"/>
        </w:rPr>
        <w:t>Asıl sözleşmenin demirbaş listesi Ek 2’deki güncel listeyle değiştirilmiştir. Listeden çıkarılan eşya [kiraya veren tarafından geri alınmıştır / kiracı tarafından bedeli ödenmiştir]; listeye eklenen eşya kiraya verenin mülkiyetinde kalır ve kira bedeline dâhildir.</w:t>
      </w:r>
    </w:p>
    <w:p>
      <w:r>
        <w:rPr>
          <w:rFonts w:ascii="Times New Roman" w:hAnsi="Times New Roman"/>
          <w:b/>
          <w:sz w:val="22"/>
        </w:rPr>
        <w:t>Madde 6 — Diğer değişiklikler</w:t>
      </w:r>
    </w:p>
    <w:p>
      <w:pPr>
        <w:jc w:val="both"/>
      </w:pPr>
      <w:r>
        <w:rPr>
          <w:rFonts w:ascii="Times New Roman" w:hAnsi="Times New Roman"/>
          <w:b w:val="0"/>
          <w:sz w:val="22"/>
        </w:rPr>
        <w:t>[Ödeme günü / banka hesabı / iletişim adresi / kullanım amacı / evcil hayvan hükmü / tebligat adresi] asıl sözleşmede şu şekilde değiştirilmiştir: [ ]. Kira bedelinin belirlenmesi dışında kalan hiçbir değişiklik kiracı aleyhine sonuç doğurmaz; aksi hâlde ilgili hüküm asıl sözleşmedeki hâliyle uygulanır.</w:t>
      </w:r>
    </w:p>
    <w:p>
      <w:r>
        <w:rPr>
          <w:rFonts w:ascii="Times New Roman" w:hAnsi="Times New Roman"/>
          <w:b/>
          <w:sz w:val="22"/>
        </w:rPr>
        <w:t>Madde 7 — Kefil ve üçüncü kişilerin durumu</w:t>
      </w:r>
    </w:p>
    <w:p>
      <w:pPr>
        <w:jc w:val="both"/>
      </w:pPr>
      <w:r>
        <w:rPr>
          <w:rFonts w:ascii="Times New Roman" w:hAnsi="Times New Roman"/>
          <w:b w:val="0"/>
          <w:sz w:val="22"/>
        </w:rPr>
        <w:t>Asıl sözleşmede kefil varsa, bu protokolle kefilin sorumluluğunu artıran değişiklikler (bedel artışı, süre uzatımı, kiracı değişikliği) kefilin kanunda öngörülen şekle uygun yazılı onayı olmadan kefile karşı hüküm doğurmaz. Kefilin onayı, gerekiyorsa eşinin rızasıyla birlikte Ek 3’te alınmıştır.</w:t>
      </w:r>
    </w:p>
    <w:p>
      <w:r>
        <w:rPr>
          <w:rFonts w:ascii="Times New Roman" w:hAnsi="Times New Roman"/>
          <w:b/>
          <w:sz w:val="22"/>
        </w:rPr>
        <w:t>Madde 8 — Damga vergisi</w:t>
      </w:r>
    </w:p>
    <w:p>
      <w:pPr>
        <w:jc w:val="both"/>
      </w:pPr>
      <w:r>
        <w:rPr>
          <w:rFonts w:ascii="Times New Roman" w:hAnsi="Times New Roman"/>
          <w:b w:val="0"/>
          <w:sz w:val="22"/>
        </w:rPr>
        <w:t>Gerçek kişiler arasındaki konut kiralarında bu protokol damga vergisinden istisnadır. İşyeri kiralarında, süre uzatımı ile bedel artışı sebebiyle asıl sözleşmede öngörülmeyen kira tutarı üzerinden binde 1,89 oranında damga vergisi hesaplanır ve [kiracı] tarafından ödenir.</w:t>
      </w:r>
    </w:p>
    <w:p>
      <w:r>
        <w:rPr>
          <w:rFonts w:ascii="Times New Roman" w:hAnsi="Times New Roman"/>
          <w:b/>
          <w:sz w:val="22"/>
        </w:rPr>
        <w:t>Madde 9 — Yürürlük ve nüsha</w:t>
      </w:r>
    </w:p>
    <w:p>
      <w:pPr>
        <w:jc w:val="both"/>
      </w:pPr>
      <w:r>
        <w:rPr>
          <w:rFonts w:ascii="Times New Roman" w:hAnsi="Times New Roman"/>
          <w:b w:val="0"/>
          <w:sz w:val="22"/>
        </w:rPr>
        <w:t>Dokuz maddeden oluşan bu protokol, imzalandığı [GG.AA.YYYY] tarihinde yürürlüğe girer; [kiracı değişikliği varsa üç, aksi hâlde iki] nüsha düzenlenmiş ve taraflarca imzalanmıştır. Asıl sözleşmenin bir örneği protokole eklenmiştir.</w:t>
      </w:r>
    </w:p>
    <w:p/>
    <w:p>
      <w:r>
        <w:rPr>
          <w:rFonts w:ascii="Times New Roman" w:hAnsi="Times New Roman"/>
          <w:b/>
          <w:sz w:val="22"/>
        </w:rPr>
        <w:t>EK 1 — DEVİR TESLİM TUTANAĞI (KİRACI DEĞİŞİKLİĞİNDE)</w:t>
      </w:r>
    </w:p>
    <w:p>
      <w:r>
        <w:rPr>
          <w:rFonts w:ascii="Times New Roman" w:hAnsi="Times New Roman"/>
          <w:b w:val="0"/>
          <w:sz w:val="21"/>
        </w:rPr>
        <w:t>Teslim tarihi: [ ] — Kiralananın durumu: [ ] — Sayaç endeksleri: elektrik [ ] su [ ] doğalgaz [ ] — Anahtar sayısı: [ ]</w:t>
      </w:r>
    </w:p>
    <w:p>
      <w:r>
        <w:rPr>
          <w:rFonts w:ascii="Times New Roman" w:hAnsi="Times New Roman"/>
          <w:b w:val="0"/>
          <w:sz w:val="21"/>
        </w:rPr>
        <w:t>Devreden kiracının bildirdiği hasar/eksiklik: [ ] — Kiraya verenin beyanı: [ ]</w:t>
      </w:r>
    </w:p>
    <w:p/>
    <w:p>
      <w:r>
        <w:rPr>
          <w:rFonts w:ascii="Times New Roman" w:hAnsi="Times New Roman"/>
          <w:b/>
          <w:sz w:val="22"/>
        </w:rPr>
        <w:t>EK 2 — GÜNCEL DEMİRBAŞ LİSTESİ</w:t>
      </w:r>
    </w:p>
    <w:p>
      <w:r>
        <w:rPr>
          <w:rFonts w:ascii="Times New Roman" w:hAnsi="Times New Roman"/>
          <w:b w:val="0"/>
          <w:sz w:val="21"/>
        </w:rPr>
        <w:t>[Eşya — marka — durum — takdir değeri]</w:t>
      </w:r>
    </w:p>
    <w:p/>
    <w:p>
      <w:r>
        <w:rPr>
          <w:rFonts w:ascii="Times New Roman" w:hAnsi="Times New Roman"/>
          <w:b/>
          <w:sz w:val="22"/>
        </w:rPr>
        <w:t>EK 3 — KEFİLİN ONAYI</w:t>
      </w:r>
    </w:p>
    <w:p>
      <w:r>
        <w:rPr>
          <w:rFonts w:ascii="Times New Roman" w:hAnsi="Times New Roman"/>
          <w:b w:val="0"/>
          <w:sz w:val="21"/>
        </w:rPr>
        <w:t>Asıl sözleşmedeki kefaletimin bu protokolle yapılan [süre uzatımı / bedel artışı / kiracı değişikliği] bakımından da devam etmesini; sorumlu olacağım azami miktarın [KEFİL EL YAZISIYLA] TL olduğunu, kefalet tarihinin [KEFİL EL YAZISIYLA] olduğunu ve müteselsil kefil sıfatımı el yazımla beyan ederim.</w:t>
      </w:r>
    </w:p>
    <w:p>
      <w:r>
        <w:rPr>
          <w:rFonts w:ascii="Times New Roman" w:hAnsi="Times New Roman"/>
          <w:b w:val="0"/>
          <w:sz w:val="21"/>
        </w:rPr>
        <w:t>Kefilin ve varsa eşinin adı soyadı, tarih ve imzası: [ ]</w:t>
      </w:r>
    </w:p>
    <w:p/>
    <w:tbl>
      <w:tblPr>
        <w:tblW w:type="auto" w:w="0"/>
        <w:jc w:val="center"/>
        <w:tblLook w:firstColumn="1" w:firstRow="1" w:lastColumn="0" w:lastRow="0" w:noHBand="0" w:noVBand="1" w:val="04A0"/>
      </w:tblPr>
      <w:tblGrid>
        <w:gridCol w:w="3249"/>
        <w:gridCol w:w="3249"/>
        <w:gridCol w:w="3249"/>
      </w:tblGrid>
      <w:tr>
        <w:tc>
          <w:tcPr>
            <w:tcW w:type="dxa" w:w="3249"/>
          </w:tcPr>
          <w:p>
            <w:pPr>
              <w:jc w:val="center"/>
            </w:pPr>
            <w:r>
              <w:rPr>
                <w:rFonts w:ascii="Times New Roman" w:hAnsi="Times New Roman"/>
                <w:b/>
                <w:sz w:val="20"/>
              </w:rPr>
              <w:t>KİRAYA VEREN</w:t>
            </w:r>
          </w:p>
        </w:tc>
        <w:tc>
          <w:tcPr>
            <w:tcW w:type="dxa" w:w="3249"/>
          </w:tcPr>
          <w:p>
            <w:pPr>
              <w:jc w:val="center"/>
            </w:pPr>
            <w:r>
              <w:rPr>
                <w:rFonts w:ascii="Times New Roman" w:hAnsi="Times New Roman"/>
                <w:b/>
                <w:sz w:val="20"/>
              </w:rPr>
              <w:t>MEVCUT KİRACI</w:t>
            </w:r>
          </w:p>
        </w:tc>
        <w:tc>
          <w:tcPr>
            <w:tcW w:type="dxa" w:w="3249"/>
          </w:tcPr>
          <w:p>
            <w:pPr>
              <w:jc w:val="center"/>
            </w:pPr>
            <w:r>
              <w:rPr>
                <w:rFonts w:ascii="Times New Roman" w:hAnsi="Times New Roman"/>
                <w:b/>
                <w:sz w:val="20"/>
              </w:rPr>
              <w:t>YENİ KİRACI (devir varsa)</w:t>
            </w:r>
          </w:p>
        </w:tc>
      </w:tr>
      <w:tr>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c>
          <w:tcPr>
            <w:tcW w:type="dxa" w:w="3249"/>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