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sz w:val="28"/>
        </w:rPr>
        <w:t>ÜRÜN KİRASI SÖZLEŞMESİ (TARLA, BAHÇE, ZEYTİNLİK VE SERA)</w:t>
      </w:r>
    </w:p>
    <w:p>
      <w:pPr>
        <w:jc w:val="center"/>
      </w:pPr>
      <w:r>
        <w:rPr>
          <w:rFonts w:ascii="Times New Roman" w:hAnsi="Times New Roman"/>
          <w:b w:val="0"/>
          <w:sz w:val="20"/>
        </w:rPr>
        <w:t>Sözleşme No: [ ]    Düzenleme yeri ve tarihi: [İL], [GG.AA.YYYY]</w:t>
      </w:r>
    </w:p>
    <w:tbl>
      <w:tblPr>
        <w:tblStyle w:val="TableGrid"/>
        <w:tblW w:type="auto" w:w="0"/>
        <w:jc w:val="center"/>
        <w:tblLayout w:type="fixed"/>
        <w:tblLook w:firstColumn="1" w:firstRow="1" w:lastColumn="0" w:lastRow="0" w:noHBand="0" w:noVBand="1" w:val="04A0"/>
      </w:tblPr>
      <w:tblGrid>
        <w:gridCol w:w="4873"/>
        <w:gridCol w:w="4873"/>
      </w:tblGrid>
      <w:tr>
        <w:tc>
          <w:tcPr>
            <w:tcW w:type="dxa" w:w="2948"/>
          </w:tcPr>
          <w:p>
            <w:r>
              <w:rPr>
                <w:rFonts w:ascii="Times New Roman" w:hAnsi="Times New Roman"/>
                <w:b/>
                <w:sz w:val="20"/>
              </w:rPr>
              <w:t>Taşınmaz</w:t>
            </w:r>
          </w:p>
        </w:tc>
        <w:tc>
          <w:tcPr>
            <w:tcW w:type="dxa" w:w="6463"/>
          </w:tcPr>
          <w:p>
            <w:r>
              <w:rPr>
                <w:rFonts w:ascii="Times New Roman" w:hAnsi="Times New Roman"/>
                <w:b w:val="0"/>
                <w:sz w:val="20"/>
              </w:rPr>
              <w:t>[İL]/[İLÇE]/[MAHALLE-KÖY], [ ] ada [ ] parsel — [ ] dekar — niteliği: [tarla / zeytinlik / bağ / sera]</w:t>
            </w:r>
          </w:p>
        </w:tc>
      </w:tr>
      <w:tr>
        <w:tc>
          <w:tcPr>
            <w:tcW w:type="dxa" w:w="2948"/>
          </w:tcPr>
          <w:p>
            <w:r>
              <w:rPr>
                <w:rFonts w:ascii="Times New Roman" w:hAnsi="Times New Roman"/>
                <w:b/>
                <w:sz w:val="20"/>
              </w:rPr>
              <w:t>Kiraya veren (malik)</w:t>
            </w:r>
          </w:p>
        </w:tc>
        <w:tc>
          <w:tcPr>
            <w:tcW w:type="dxa" w:w="6463"/>
          </w:tcPr>
          <w:p>
            <w:r>
              <w:rPr>
                <w:rFonts w:ascii="Times New Roman" w:hAnsi="Times New Roman"/>
                <w:b w:val="0"/>
                <w:sz w:val="20"/>
              </w:rPr>
              <w:t>[AD SOYAD] — T.C. Kimlik No: [ ] — Adres: [ ]</w:t>
            </w:r>
          </w:p>
        </w:tc>
      </w:tr>
      <w:tr>
        <w:tc>
          <w:tcPr>
            <w:tcW w:type="dxa" w:w="2948"/>
          </w:tcPr>
          <w:p>
            <w:r>
              <w:rPr>
                <w:rFonts w:ascii="Times New Roman" w:hAnsi="Times New Roman"/>
                <w:b/>
                <w:sz w:val="20"/>
              </w:rPr>
              <w:t>Kiracı (işleten)</w:t>
            </w:r>
          </w:p>
        </w:tc>
        <w:tc>
          <w:tcPr>
            <w:tcW w:type="dxa" w:w="6463"/>
          </w:tcPr>
          <w:p>
            <w:r>
              <w:rPr>
                <w:rFonts w:ascii="Times New Roman" w:hAnsi="Times New Roman"/>
                <w:b w:val="0"/>
                <w:sz w:val="20"/>
              </w:rPr>
              <w:t>[AD SOYAD] — T.C. Kimlik No: [ ] — Çiftçi Kayıt Sistemi No: [ ] — Adres: [ ]</w:t>
            </w:r>
          </w:p>
        </w:tc>
      </w:tr>
      <w:tr>
        <w:tc>
          <w:tcPr>
            <w:tcW w:type="dxa" w:w="2948"/>
          </w:tcPr>
          <w:p>
            <w:r>
              <w:rPr>
                <w:rFonts w:ascii="Times New Roman" w:hAnsi="Times New Roman"/>
                <w:b/>
                <w:sz w:val="20"/>
              </w:rPr>
              <w:t>Başlangıç tarihi ve süre</w:t>
            </w:r>
          </w:p>
        </w:tc>
        <w:tc>
          <w:tcPr>
            <w:tcW w:type="dxa" w:w="6463"/>
          </w:tcPr>
          <w:p>
            <w:r>
              <w:rPr>
                <w:rFonts w:ascii="Times New Roman" w:hAnsi="Times New Roman"/>
                <w:b w:val="0"/>
                <w:sz w:val="20"/>
              </w:rPr>
              <w:t>[GG.AA.YYYY] — [üç (3)] üretim yılı; bitiş: hasat sonrası [GG.AA.YYYY]</w:t>
            </w:r>
          </w:p>
        </w:tc>
      </w:tr>
      <w:tr>
        <w:tc>
          <w:tcPr>
            <w:tcW w:type="dxa" w:w="2948"/>
          </w:tcPr>
          <w:p>
            <w:r>
              <w:rPr>
                <w:rFonts w:ascii="Times New Roman" w:hAnsi="Times New Roman"/>
                <w:b/>
                <w:sz w:val="20"/>
              </w:rPr>
              <w:t>Kira bedeli türü</w:t>
            </w:r>
          </w:p>
        </w:tc>
        <w:tc>
          <w:tcPr>
            <w:tcW w:type="dxa" w:w="6463"/>
          </w:tcPr>
          <w:p>
            <w:r>
              <w:rPr>
                <w:rFonts w:ascii="Times New Roman" w:hAnsi="Times New Roman"/>
                <w:b w:val="0"/>
                <w:sz w:val="20"/>
              </w:rPr>
              <w:t>[Sabit bedel: yıllık [ ] TL] / [Ürüne katılmalı: hasat edilen ürünün yüzde [ ]’si]</w:t>
            </w:r>
          </w:p>
        </w:tc>
      </w:tr>
      <w:tr>
        <w:tc>
          <w:tcPr>
            <w:tcW w:type="dxa" w:w="2948"/>
          </w:tcPr>
          <w:p>
            <w:r>
              <w:rPr>
                <w:rFonts w:ascii="Times New Roman" w:hAnsi="Times New Roman"/>
                <w:b/>
                <w:sz w:val="20"/>
              </w:rPr>
              <w:t>Ödeme zamanı</w:t>
            </w:r>
          </w:p>
        </w:tc>
        <w:tc>
          <w:tcPr>
            <w:tcW w:type="dxa" w:w="6463"/>
          </w:tcPr>
          <w:p>
            <w:r>
              <w:rPr>
                <w:rFonts w:ascii="Times New Roman" w:hAnsi="Times New Roman"/>
                <w:b w:val="0"/>
                <w:sz w:val="20"/>
              </w:rPr>
              <w:t>[Her üretim yılının hasadını izleyen 30 gün içinde] / [ürün payı hasatta teslim]</w:t>
            </w:r>
          </w:p>
        </w:tc>
      </w:tr>
      <w:tr>
        <w:tc>
          <w:tcPr>
            <w:tcW w:type="dxa" w:w="2948"/>
          </w:tcPr>
          <w:p>
            <w:r>
              <w:rPr>
                <w:rFonts w:ascii="Times New Roman" w:hAnsi="Times New Roman"/>
                <w:b/>
                <w:sz w:val="20"/>
              </w:rPr>
              <w:t>Üzerindeki ağaç, tesis ve araçlar</w:t>
            </w:r>
          </w:p>
        </w:tc>
        <w:tc>
          <w:tcPr>
            <w:tcW w:type="dxa" w:w="6463"/>
          </w:tcPr>
          <w:p>
            <w:r>
              <w:rPr>
                <w:rFonts w:ascii="Times New Roman" w:hAnsi="Times New Roman"/>
                <w:b w:val="0"/>
                <w:sz w:val="20"/>
              </w:rPr>
              <w:t>Ek 1’deki tutanakta değerleriyle sayılmıştır</w:t>
            </w:r>
          </w:p>
        </w:tc>
      </w:tr>
      <w:tr>
        <w:tc>
          <w:tcPr>
            <w:tcW w:type="dxa" w:w="2948"/>
          </w:tcPr>
          <w:p>
            <w:r>
              <w:rPr>
                <w:rFonts w:ascii="Times New Roman" w:hAnsi="Times New Roman"/>
                <w:b/>
                <w:sz w:val="20"/>
              </w:rPr>
              <w:t>Kullanım amacı</w:t>
            </w:r>
          </w:p>
        </w:tc>
        <w:tc>
          <w:tcPr>
            <w:tcW w:type="dxa" w:w="6463"/>
          </w:tcPr>
          <w:p>
            <w:r>
              <w:rPr>
                <w:rFonts w:ascii="Times New Roman" w:hAnsi="Times New Roman"/>
                <w:b w:val="0"/>
                <w:sz w:val="20"/>
              </w:rPr>
              <w:t>[Buğday-arpa ekimi / zeytin üretimi / sebze serası] — tarımsal üretim</w:t>
            </w:r>
          </w:p>
        </w:tc>
      </w:tr>
      <w:tr>
        <w:tc>
          <w:tcPr>
            <w:tcW w:type="dxa" w:w="2948"/>
          </w:tcPr>
          <w:p>
            <w:r>
              <w:rPr>
                <w:rFonts w:ascii="Times New Roman" w:hAnsi="Times New Roman"/>
                <w:b/>
                <w:sz w:val="20"/>
              </w:rPr>
              <w:t>Su ve sulama</w:t>
            </w:r>
          </w:p>
        </w:tc>
        <w:tc>
          <w:tcPr>
            <w:tcW w:type="dxa" w:w="6463"/>
          </w:tcPr>
          <w:p>
            <w:r>
              <w:rPr>
                <w:rFonts w:ascii="Times New Roman" w:hAnsi="Times New Roman"/>
                <w:b w:val="0"/>
                <w:sz w:val="20"/>
              </w:rPr>
              <w:t>[Kuyu / kanal / damla sulama sistemi] — durumu Ek 1’de</w:t>
            </w:r>
          </w:p>
        </w:tc>
      </w:tr>
    </w:tbl>
    <w:p/>
    <w:p>
      <w:r>
        <w:rPr>
          <w:rFonts w:ascii="Times New Roman" w:hAnsi="Times New Roman"/>
          <w:b/>
          <w:sz w:val="24"/>
        </w:rPr>
        <w:t>SÖZLEŞME HÜKÜMLERİ</w:t>
      </w:r>
    </w:p>
    <w:p>
      <w:r>
        <w:rPr>
          <w:rFonts w:ascii="Times New Roman" w:hAnsi="Times New Roman"/>
          <w:b/>
          <w:sz w:val="22"/>
        </w:rPr>
        <w:t>Madde 1 — Konu</w:t>
      </w:r>
    </w:p>
    <w:p>
      <w:pPr>
        <w:jc w:val="both"/>
      </w:pPr>
      <w:r>
        <w:rPr>
          <w:rFonts w:ascii="Times New Roman" w:hAnsi="Times New Roman"/>
          <w:b w:val="0"/>
          <w:sz w:val="22"/>
        </w:rPr>
        <w:t>Kiraya veren, yukarıda yazılı tarımsal taşınmazın kullanılmasını ve ürünlerinin devşirilmesini bedel karşılığında kiracıya bırakmıştır. Bu sözleşme ürün kirasıdır; ürün kirasına ilişkin özel hüküm bulunmayan hâllerde kira sözleşmesinin genel hükümleri uygulanır.</w:t>
      </w:r>
    </w:p>
    <w:p>
      <w:r>
        <w:rPr>
          <w:rFonts w:ascii="Times New Roman" w:hAnsi="Times New Roman"/>
          <w:b/>
          <w:sz w:val="22"/>
        </w:rPr>
        <w:t>Madde 2 — Kira bedeli</w:t>
      </w:r>
    </w:p>
    <w:p>
      <w:pPr>
        <w:jc w:val="both"/>
      </w:pPr>
      <w:r>
        <w:rPr>
          <w:rFonts w:ascii="Times New Roman" w:hAnsi="Times New Roman"/>
          <w:b w:val="0"/>
          <w:sz w:val="22"/>
        </w:rPr>
        <w:t>Kira bedeli [sabit olarak yıllık [ ] TL’dir ve her üretim yılının hasadını izleyen otuz gün içinde banka hesabına ödenir] / [ürüne katılmalı olup hasat edilen ürünün yüzde [ ]’si kiraya verene aynen teslim edilir; ürünün kalitesi, tartımı ve teslim yeri Ek 2’de düzenlenmiştir]. Sabit bedelli kirada yenilenen yılda artış, tarafların yazılı anlaşmasına göre yapılır.</w:t>
      </w:r>
    </w:p>
    <w:p>
      <w:r>
        <w:rPr>
          <w:rFonts w:ascii="Times New Roman" w:hAnsi="Times New Roman"/>
          <w:b/>
          <w:sz w:val="22"/>
        </w:rPr>
        <w:t>Madde 3 — Tutanak</w:t>
      </w:r>
    </w:p>
    <w:p>
      <w:pPr>
        <w:jc w:val="both"/>
      </w:pPr>
      <w:r>
        <w:rPr>
          <w:rFonts w:ascii="Times New Roman" w:hAnsi="Times New Roman"/>
          <w:b w:val="0"/>
          <w:sz w:val="22"/>
        </w:rPr>
        <w:t>Kiralananla birlikte devredilen ağaçlar, sulama tesisi, kuyu ve motopomp, sera örtüsü, alet ve gereçler ile varsa stoklanmış gübre ve tohum, taraflarca birlikte değerleri takdir edilerek Ek 1’deki tutanağa geçirilmiş, tutanak iki nüsha imzalanarak taraflara verilmiştir.</w:t>
      </w:r>
    </w:p>
    <w:p>
      <w:r>
        <w:rPr>
          <w:rFonts w:ascii="Times New Roman" w:hAnsi="Times New Roman"/>
          <w:b/>
          <w:sz w:val="22"/>
        </w:rPr>
        <w:t>Madde 4 — Teslim ve esaslı onarım</w:t>
      </w:r>
    </w:p>
    <w:p>
      <w:pPr>
        <w:jc w:val="both"/>
      </w:pPr>
      <w:r>
        <w:rPr>
          <w:rFonts w:ascii="Times New Roman" w:hAnsi="Times New Roman"/>
          <w:b w:val="0"/>
          <w:sz w:val="22"/>
        </w:rPr>
        <w:t>Kiraya veren, taşınmazı sözleşme amacına uygun işletilmeye elverişli durumda teslim eder ve süre boyunca bu durumda bulundurur. Kira süresi içinde zorunlu hâle gelen esaslı onarımlar (kuyu tulumbasının değişimi, sera iskeletinin yenilenmesi gibi) kiracının bildirimi üzerine gideri kiraya verene ait olmak üzere yapılır.</w:t>
      </w:r>
    </w:p>
    <w:p>
      <w:r>
        <w:rPr>
          <w:rFonts w:ascii="Times New Roman" w:hAnsi="Times New Roman"/>
          <w:b/>
          <w:sz w:val="22"/>
        </w:rPr>
        <w:t>Madde 5 — İşletme yükümlülüğü</w:t>
      </w:r>
    </w:p>
    <w:p>
      <w:pPr>
        <w:jc w:val="both"/>
      </w:pPr>
      <w:r>
        <w:rPr>
          <w:rFonts w:ascii="Times New Roman" w:hAnsi="Times New Roman"/>
          <w:b w:val="0"/>
          <w:sz w:val="22"/>
        </w:rPr>
        <w:t>Kiracı, taşınmazı özgülendiği amaca uygun ve iyi bir biçimde işletir; özellikle toprağı ürün vermeye elverişli durumda tutar, ekim nöbetine uyar, ağaçların budama ve ilaçlamasını zamanında yapar. Kiracı, kiraya verenin yazılı izni olmadan işletme usulünü, kira süresinin bitiminden sonra etkisi görülecek biçimde değiştiremez; meyve ağaçlarını sökemez, sürekli bitki dikemez, toprak yapısını bozacak uygulama yapamaz.</w:t>
      </w:r>
    </w:p>
    <w:p>
      <w:r>
        <w:rPr>
          <w:rFonts w:ascii="Times New Roman" w:hAnsi="Times New Roman"/>
          <w:b/>
          <w:sz w:val="22"/>
        </w:rPr>
        <w:t>Madde 6 — Bakım borcu</w:t>
      </w:r>
    </w:p>
    <w:p>
      <w:pPr>
        <w:jc w:val="both"/>
      </w:pPr>
      <w:r>
        <w:rPr>
          <w:rFonts w:ascii="Times New Roman" w:hAnsi="Times New Roman"/>
          <w:b w:val="0"/>
          <w:sz w:val="22"/>
        </w:rPr>
        <w:t>Kiracı, taşınmazın bakımını gereği gibi sağlar; yerel âdete uygun küçük onarımları yapar; bozulan veya kullanmayla yok olan düşük değerli araç ve gereçlerin yerine yenilerini koyar. Sulama kanallarının temizliği, çit ve sınır taşlarının korunması kiracıya aittir.</w:t>
      </w:r>
    </w:p>
    <w:p>
      <w:r>
        <w:rPr>
          <w:rFonts w:ascii="Times New Roman" w:hAnsi="Times New Roman"/>
          <w:b/>
          <w:sz w:val="22"/>
        </w:rPr>
        <w:t>Madde 7 — Giderler</w:t>
      </w:r>
    </w:p>
    <w:p>
      <w:pPr>
        <w:jc w:val="both"/>
      </w:pPr>
      <w:r>
        <w:rPr>
          <w:rFonts w:ascii="Times New Roman" w:hAnsi="Times New Roman"/>
          <w:b w:val="0"/>
          <w:sz w:val="22"/>
        </w:rPr>
        <w:t>Tohum, fide, gübre, ilaç, işçilik, mazot, elektrik ve sulama suyu bedeli kiracıya; emlak vergisi ve taşınmazın mülkiyetine bağlı yükümlülükler kiraya verene aittir. Tarımsal destek başvuruları, aksine yazılı anlaşma yoksa, üretimi yapan kiracı tarafından kendi adına yapılır; kiraya veren gerekli muvafakati verir.</w:t>
      </w:r>
    </w:p>
    <w:p>
      <w:r>
        <w:rPr>
          <w:rFonts w:ascii="Times New Roman" w:hAnsi="Times New Roman"/>
          <w:b/>
          <w:sz w:val="22"/>
        </w:rPr>
        <w:t>Madde 8 — Olağanüstü durumlarda indirim</w:t>
      </w:r>
    </w:p>
    <w:p>
      <w:pPr>
        <w:jc w:val="both"/>
      </w:pPr>
      <w:r>
        <w:rPr>
          <w:rFonts w:ascii="Times New Roman" w:hAnsi="Times New Roman"/>
          <w:b w:val="0"/>
          <w:sz w:val="22"/>
        </w:rPr>
        <w:t>Taşınmazın her zamanki verimi; kuraklık, don, dolu, sel gibi olağanüstü felaket veya doğal olaylar yüzünden önemli ölçüde azalırsa kiracı, sabit kira bedelinden orantılı indirim isteyebilir. Kiracı, zararı belgelemek için hasar tespitini ilgili tarım müdürlüğüne süresinde bildirir. Ürüne katılmalı kirada bu risk ürün payına kendiliğinden yansır.</w:t>
      </w:r>
    </w:p>
    <w:p>
      <w:r>
        <w:rPr>
          <w:rFonts w:ascii="Times New Roman" w:hAnsi="Times New Roman"/>
          <w:b/>
          <w:sz w:val="22"/>
        </w:rPr>
        <w:t>Madde 9 — Alt kira ve devir yasağı</w:t>
      </w:r>
    </w:p>
    <w:p>
      <w:pPr>
        <w:jc w:val="both"/>
      </w:pPr>
      <w:r>
        <w:rPr>
          <w:rFonts w:ascii="Times New Roman" w:hAnsi="Times New Roman"/>
          <w:b w:val="0"/>
          <w:sz w:val="22"/>
        </w:rPr>
        <w:t>Kiracı, kiraya verenin rızası olmaksızın taşınmazı başkasına kiraya veremez, kullanım ve işletme hakkını devredemez. Kiracı, kiraya veren için zarar doğuracak bir değişiklik gerektirmemek koşuluyla taşınmazdaki bazı yerleri (depo, ambar gibi) kiraya verenin yazılı izniyle kiraya verebilir.</w:t>
      </w:r>
    </w:p>
    <w:p>
      <w:r>
        <w:rPr>
          <w:rFonts w:ascii="Times New Roman" w:hAnsi="Times New Roman"/>
          <w:b/>
          <w:sz w:val="22"/>
        </w:rPr>
        <w:t>Madde 10 — Süre ve yenilenme</w:t>
      </w:r>
    </w:p>
    <w:p>
      <w:pPr>
        <w:jc w:val="both"/>
      </w:pPr>
      <w:r>
        <w:rPr>
          <w:rFonts w:ascii="Times New Roman" w:hAnsi="Times New Roman"/>
          <w:b w:val="0"/>
          <w:sz w:val="22"/>
        </w:rPr>
        <w:t>Sözleşme belirli sürelidir ve sürenin bitiminde kendiliğinden sona erer. Tarafların örtülü olarak sözleşmeyi sürdürmeleri hâlinde sözleşme birer yıl için yenilenmiş sayılır; yenilenen sözleşme, yasal bildirim süresine uyularak her kira yılının sonu için feshedilebilir.</w:t>
      </w:r>
    </w:p>
    <w:p>
      <w:r>
        <w:rPr>
          <w:rFonts w:ascii="Times New Roman" w:hAnsi="Times New Roman"/>
          <w:b/>
          <w:sz w:val="22"/>
        </w:rPr>
        <w:t>Madde 11 — Fesih bildirimi</w:t>
      </w:r>
    </w:p>
    <w:p>
      <w:pPr>
        <w:jc w:val="both"/>
      </w:pPr>
      <w:r>
        <w:rPr>
          <w:rFonts w:ascii="Times New Roman" w:hAnsi="Times New Roman"/>
          <w:b w:val="0"/>
          <w:sz w:val="22"/>
        </w:rPr>
        <w:t>Belirsiz süreli hâle gelen sözleşmede fesih bildirim süresi en az altı aydır. Aksine anlaşma yoksa fesih bildirimi, yerel âdetçe uygulanan bahar veya güz mevsimi için yapılır; bu sözleşmede taraflar fesih dönemi olarak [hasat sonrasını / güz mevsimini] kararlaştırmıştır.</w:t>
      </w:r>
    </w:p>
    <w:p>
      <w:r>
        <w:rPr>
          <w:rFonts w:ascii="Times New Roman" w:hAnsi="Times New Roman"/>
          <w:b/>
          <w:sz w:val="22"/>
        </w:rPr>
        <w:t>Madde 12 — Temerrüt</w:t>
      </w:r>
    </w:p>
    <w:p>
      <w:pPr>
        <w:jc w:val="both"/>
      </w:pPr>
      <w:r>
        <w:rPr>
          <w:rFonts w:ascii="Times New Roman" w:hAnsi="Times New Roman"/>
          <w:b w:val="0"/>
          <w:sz w:val="22"/>
        </w:rPr>
        <w:t>Kiracı, vadesi gelen kira bedelini veya yan giderleri ödemezse kiraya veren, yazılı olarak en az altmış günlük önel verir ve bu önel içinde ödeme yapılmazsa sözleşmeyi feshedeceğini bildirir.</w:t>
      </w:r>
    </w:p>
    <w:p>
      <w:r>
        <w:rPr>
          <w:rFonts w:ascii="Times New Roman" w:hAnsi="Times New Roman"/>
          <w:b/>
          <w:sz w:val="22"/>
        </w:rPr>
        <w:t>Madde 13 — Olağanüstü fesih</w:t>
      </w:r>
    </w:p>
    <w:p>
      <w:pPr>
        <w:jc w:val="both"/>
      </w:pPr>
      <w:r>
        <w:rPr>
          <w:rFonts w:ascii="Times New Roman" w:hAnsi="Times New Roman"/>
          <w:b w:val="0"/>
          <w:sz w:val="22"/>
        </w:rPr>
        <w:t>Kira ilişkisinin devamını taraflardan biri için çekilmez hâle getiren önemli sebeplerin varlığında taraf, yasal fesih bildirim süresine uyarak sözleşmeyi her zaman feshedebilir. Kiracının ölümü hâlinde mirasçıları ve kiraya veren, altı aylık bildirim süresine uyarak sözleşmeyi feshedebilir.</w:t>
      </w:r>
    </w:p>
    <w:p>
      <w:r>
        <w:rPr>
          <w:rFonts w:ascii="Times New Roman" w:hAnsi="Times New Roman"/>
          <w:b/>
          <w:sz w:val="22"/>
        </w:rPr>
        <w:t>Madde 14 — Geri verme</w:t>
      </w:r>
    </w:p>
    <w:p>
      <w:pPr>
        <w:jc w:val="both"/>
      </w:pPr>
      <w:r>
        <w:rPr>
          <w:rFonts w:ascii="Times New Roman" w:hAnsi="Times New Roman"/>
          <w:b w:val="0"/>
          <w:sz w:val="22"/>
        </w:rPr>
        <w:t>Kira süresinin bitiminde kiracı, taşınmazı tutanağa geçirilmiş bütün eşya ve tesislerle birlikte ve bulundukları durumda geri verir. İyi işletilme durumunda kaçınılabilecek değer eksikliklerini kiracı tazmin eder; gösterdiği özen çerçevesinde meydana gelen değer artışları için tazminat isteyemez. Tutanakta değer biçilmiş eşya, özdeş tür ve değerde geri verilir ya da eksikliği giderilir. Kiracı, kendi masrafı ve emeğiyle oluşan değer artışı (yeni dikilen ağaç, kurulan damla sulama sistemi gibi) için, kiraya verenin yazılı onayıyla yapılmışsa tazminat isteyebilir.</w:t>
      </w:r>
    </w:p>
    <w:p>
      <w:r>
        <w:rPr>
          <w:rFonts w:ascii="Times New Roman" w:hAnsi="Times New Roman"/>
          <w:b/>
          <w:sz w:val="22"/>
        </w:rPr>
        <w:t>Madde 15 — Hasat ve devir zamanı</w:t>
      </w:r>
    </w:p>
    <w:p>
      <w:pPr>
        <w:jc w:val="both"/>
      </w:pPr>
      <w:r>
        <w:rPr>
          <w:rFonts w:ascii="Times New Roman" w:hAnsi="Times New Roman"/>
          <w:b w:val="0"/>
          <w:sz w:val="22"/>
        </w:rPr>
        <w:t>Sözleşme sona erdiğinde hasadı yapılmamış ürün bakımından taraflar, yerel âdete ve Ek 2’deki düzenlemeye göre paylaşım yapar; kiracının son üretim yılında yaptığı ve yararı sonraki yıla kalan gübreleme ve toprak işleme giderleri, belgelenmesi hâlinde kiraya veren tarafından karşılanır.</w:t>
      </w:r>
    </w:p>
    <w:p>
      <w:r>
        <w:rPr>
          <w:rFonts w:ascii="Times New Roman" w:hAnsi="Times New Roman"/>
          <w:b/>
          <w:sz w:val="22"/>
        </w:rPr>
        <w:t>Madde 16 — Tebligat, damga vergisi ve uyuşmazlık</w:t>
      </w:r>
    </w:p>
    <w:p>
      <w:pPr>
        <w:jc w:val="both"/>
      </w:pPr>
      <w:r>
        <w:rPr>
          <w:rFonts w:ascii="Times New Roman" w:hAnsi="Times New Roman"/>
          <w:b w:val="0"/>
          <w:sz w:val="22"/>
        </w:rPr>
        <w:t>Tarafların yukarıdaki adresleri tebligat adresidir. Bu sözleşme, toplam kira bedeli üzerinden binde 1,89 oranında damga vergisine tabidir; ürüne katılmalı kirada matrah tarafların takdir ettiği yıllık ürün payı değeridir. Uyuşmazlıklarda dava açılmadan önce arabulucuya başvurulması dava şartıdır; yetkili mahkeme kanuni kurallara göre belirlenir.</w:t>
      </w:r>
    </w:p>
    <w:p>
      <w:r>
        <w:rPr>
          <w:rFonts w:ascii="Times New Roman" w:hAnsi="Times New Roman"/>
          <w:b/>
          <w:sz w:val="22"/>
        </w:rPr>
        <w:t>Madde 17 — Nüsha</w:t>
      </w:r>
    </w:p>
    <w:p>
      <w:pPr>
        <w:jc w:val="both"/>
      </w:pPr>
      <w:r>
        <w:rPr>
          <w:rFonts w:ascii="Times New Roman" w:hAnsi="Times New Roman"/>
          <w:b w:val="0"/>
          <w:sz w:val="22"/>
        </w:rPr>
        <w:t>On yedi madde ve iki ekten oluşan bu sözleşme iki nüsha düzenlenmiş, [GG.AA.YYYY] tarihinde [köy/mahalle muhtarı] huzurunda imzalanmıştır.</w:t>
      </w:r>
    </w:p>
    <w:p/>
    <w:p>
      <w:r>
        <w:rPr>
          <w:rFonts w:ascii="Times New Roman" w:hAnsi="Times New Roman"/>
          <w:b/>
          <w:sz w:val="22"/>
        </w:rPr>
        <w:t>EK 1 — TESLİM TUTANAĞI (AĞAÇ, TESİS, ARAÇ-GEREÇ VE STOKLAR)</w:t>
      </w:r>
    </w:p>
    <w:p>
      <w:r>
        <w:rPr>
          <w:rFonts w:ascii="Times New Roman" w:hAnsi="Times New Roman"/>
          <w:b w:val="0"/>
          <w:sz w:val="21"/>
        </w:rPr>
        <w:t>Zeytin ağacı: [ ] adet, ortalama yaş [ ], durum [ ] — Meyve ağacı: [ ] adet — Bağ omcası: [ ] adet</w:t>
      </w:r>
    </w:p>
    <w:p>
      <w:r>
        <w:rPr>
          <w:rFonts w:ascii="Times New Roman" w:hAnsi="Times New Roman"/>
          <w:b w:val="0"/>
          <w:sz w:val="21"/>
        </w:rPr>
        <w:t>Sulama: kuyu derinliği [ ] m, motopomp [MARKA], damla sulama hattı [ ] m — Sera: [ ] m², örtü durumu [ ]</w:t>
      </w:r>
    </w:p>
    <w:p>
      <w:r>
        <w:rPr>
          <w:rFonts w:ascii="Times New Roman" w:hAnsi="Times New Roman"/>
          <w:b w:val="0"/>
          <w:sz w:val="21"/>
        </w:rPr>
        <w:t>Araç-gereç: [ ] — Stoklar: gübre [ ] kg, tohum [ ] kg — Toplam takdir değeri: [ ] TL</w:t>
      </w:r>
    </w:p>
    <w:p/>
    <w:p>
      <w:r>
        <w:rPr>
          <w:rFonts w:ascii="Times New Roman" w:hAnsi="Times New Roman"/>
          <w:b/>
          <w:sz w:val="22"/>
        </w:rPr>
        <w:t>EK 2 — ÜRÜN PAYI VE HASAT DÜZENİ (ÜRÜNE KATILMALI KİRADA)</w:t>
      </w:r>
    </w:p>
    <w:p>
      <w:r>
        <w:rPr>
          <w:rFonts w:ascii="Times New Roman" w:hAnsi="Times New Roman"/>
          <w:b w:val="0"/>
          <w:sz w:val="21"/>
        </w:rPr>
        <w:t>Kiraya verenin payı: yüzde [ ] — Tartım: [kantar adı] — Teslim yeri: [ ] — Teslim zamanı: hasadı izleyen [ ] gün</w:t>
      </w:r>
    </w:p>
    <w:p>
      <w:r>
        <w:rPr>
          <w:rFonts w:ascii="Times New Roman" w:hAnsi="Times New Roman"/>
          <w:b w:val="0"/>
          <w:sz w:val="21"/>
        </w:rPr>
        <w:t>Sözleşme sonunda hasadı yapılmamış ürün: [kiracıya aittir / yüzde ... oranında paylaşılır]</w:t>
      </w:r>
    </w:p>
    <w:p/>
    <w:tbl>
      <w:tblPr>
        <w:tblW w:type="auto" w:w="0"/>
        <w:jc w:val="center"/>
        <w:tblLook w:firstColumn="1" w:firstRow="1" w:lastColumn="0" w:lastRow="0" w:noHBand="0" w:noVBand="1" w:val="04A0"/>
      </w:tblPr>
      <w:tblGrid>
        <w:gridCol w:w="4873"/>
        <w:gridCol w:w="4873"/>
      </w:tblGrid>
      <w:tr>
        <w:tc>
          <w:tcPr>
            <w:tcW w:type="dxa" w:w="4873"/>
          </w:tcPr>
          <w:p>
            <w:pPr>
              <w:jc w:val="center"/>
            </w:pPr>
            <w:r>
              <w:rPr>
                <w:rFonts w:ascii="Times New Roman" w:hAnsi="Times New Roman"/>
                <w:b/>
                <w:sz w:val="20"/>
              </w:rPr>
              <w:t>KİRAYA VEREN (MALİK)</w:t>
            </w:r>
          </w:p>
        </w:tc>
        <w:tc>
          <w:tcPr>
            <w:tcW w:type="dxa" w:w="4873"/>
          </w:tcPr>
          <w:p>
            <w:pPr>
              <w:jc w:val="center"/>
            </w:pPr>
            <w:r>
              <w:rPr>
                <w:rFonts w:ascii="Times New Roman" w:hAnsi="Times New Roman"/>
                <w:b/>
                <w:sz w:val="20"/>
              </w:rPr>
              <w:t>KİRACI (İŞLETEN)</w:t>
            </w:r>
          </w:p>
        </w:tc>
      </w:tr>
      <w:tr>
        <w:tc>
          <w:tcPr>
            <w:tcW w:type="dxa" w:w="4873"/>
          </w:tcPr>
          <w:p>
            <w:pPr>
              <w:jc w:val="center"/>
            </w:pPr>
            <w:r>
              <w:rPr>
                <w:rFonts w:ascii="Times New Roman" w:hAnsi="Times New Roman"/>
                <w:b w:val="0"/>
                <w:sz w:val="20"/>
              </w:rPr>
              <w:br/>
              <w:br/>
              <w:t>Ad Soyad:</w:t>
              <w:br/>
              <w:br/>
              <w:t>İmza:</w:t>
            </w:r>
          </w:p>
        </w:tc>
        <w:tc>
          <w:tcPr>
            <w:tcW w:type="dxa" w:w="4873"/>
          </w:tcPr>
          <w:p>
            <w:pPr>
              <w:jc w:val="center"/>
            </w:pPr>
            <w:r>
              <w:rPr>
                <w:rFonts w:ascii="Times New Roman" w:hAnsi="Times New Roman"/>
                <w:b w:val="0"/>
                <w:sz w:val="20"/>
              </w:rPr>
              <w:br/>
              <w:br/>
              <w:t>Ad Soyad:</w:t>
              <w:br/>
              <w:br/>
              <w:t>İmza:</w:t>
            </w:r>
          </w:p>
        </w:tc>
      </w:tr>
    </w:tbl>
    <w:p/>
    <w:p>
      <w:r>
        <w:rPr>
          <w:rFonts w:ascii="Times New Roman" w:hAnsi="Times New Roman"/>
          <w:b w:val="0"/>
          <w:sz w:val="16"/>
        </w:rPr>
        <w:t>Bu belge www.ferhatsatan.com adresinde yayımlanan “Gayrimenkul Kira Sözleşmesi Örnekleri” yazısının ekidir. Örnek niteliğindedir; köşeli parantez içindeki alanlar somut duruma göre doldurulmalı, gerekmeyen seçenekler silinmelidir. Hukuki tavsiye yerine geçmez.</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