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ARSA VE AÇIK ALAN KİRA SÖZLEŞMESİ (ÇATISIZ TAŞINMAZ: OTOPARK, DEPOLAMA, KONTEYNER)</w:t>
      </w:r>
    </w:p>
    <w:p>
      <w:pPr>
        <w:jc w:val="center"/>
      </w:pPr>
      <w:r>
        <w:rPr>
          <w:rFonts w:ascii="Times New Roman" w:hAnsi="Times New Roman"/>
          <w:b w:val="0"/>
          <w:sz w:val="20"/>
        </w:rPr>
        <w:t>Sözleşme No: [ ]    Düzenleme yeri ve tarihi: [İL], [GG.AA.YYYY]</w:t>
      </w:r>
    </w:p>
    <w:tbl>
      <w:tblPr>
        <w:tblStyle w:val="TableGrid"/>
        <w:tblW w:type="auto" w:w="0"/>
        <w:jc w:val="center"/>
        <w:tblLayout w:type="fixed"/>
        <w:tblLook w:firstColumn="1" w:firstRow="1" w:lastColumn="0" w:lastRow="0" w:noHBand="0" w:noVBand="1" w:val="04A0"/>
      </w:tblPr>
      <w:tblGrid>
        <w:gridCol w:w="4873"/>
        <w:gridCol w:w="4873"/>
      </w:tblGrid>
      <w:tr>
        <w:tc>
          <w:tcPr>
            <w:tcW w:type="dxa" w:w="2948"/>
          </w:tcPr>
          <w:p>
            <w:r>
              <w:rPr>
                <w:rFonts w:ascii="Times New Roman" w:hAnsi="Times New Roman"/>
                <w:b/>
                <w:sz w:val="20"/>
              </w:rPr>
              <w:t>Taşınmaz</w:t>
            </w:r>
          </w:p>
        </w:tc>
        <w:tc>
          <w:tcPr>
            <w:tcW w:type="dxa" w:w="6463"/>
          </w:tcPr>
          <w:p>
            <w:r>
              <w:rPr>
                <w:rFonts w:ascii="Times New Roman" w:hAnsi="Times New Roman"/>
                <w:b w:val="0"/>
                <w:sz w:val="20"/>
              </w:rPr>
              <w:t>[İL] ili, [İLÇE] ilçesi, [MAHALLE] mahallesi, [ ] ada [ ] parsel — [ ] m² — tapu niteliği: [arsa / tarla / bahçe]</w:t>
            </w:r>
          </w:p>
        </w:tc>
      </w:tr>
      <w:tr>
        <w:tc>
          <w:tcPr>
            <w:tcW w:type="dxa" w:w="2948"/>
          </w:tcPr>
          <w:p>
            <w:r>
              <w:rPr>
                <w:rFonts w:ascii="Times New Roman" w:hAnsi="Times New Roman"/>
                <w:b/>
                <w:sz w:val="20"/>
              </w:rPr>
              <w:t>İmar durumu</w:t>
            </w:r>
          </w:p>
        </w:tc>
        <w:tc>
          <w:tcPr>
            <w:tcW w:type="dxa" w:w="6463"/>
          </w:tcPr>
          <w:p>
            <w:r>
              <w:rPr>
                <w:rFonts w:ascii="Times New Roman" w:hAnsi="Times New Roman"/>
                <w:b w:val="0"/>
                <w:sz w:val="20"/>
              </w:rPr>
              <w:t>[Konut alanı / ticaret alanı / imarsız] — belediye imar durum belgesi Ek 1’de</w:t>
            </w:r>
          </w:p>
        </w:tc>
      </w:tr>
      <w:tr>
        <w:tc>
          <w:tcPr>
            <w:tcW w:type="dxa" w:w="2948"/>
          </w:tcPr>
          <w:p>
            <w:r>
              <w:rPr>
                <w:rFonts w:ascii="Times New Roman" w:hAnsi="Times New Roman"/>
                <w:b/>
                <w:sz w:val="20"/>
              </w:rPr>
              <w:t>Kiraya veren (malik)</w:t>
            </w:r>
          </w:p>
        </w:tc>
        <w:tc>
          <w:tcPr>
            <w:tcW w:type="dxa" w:w="6463"/>
          </w:tcPr>
          <w:p>
            <w:r>
              <w:rPr>
                <w:rFonts w:ascii="Times New Roman" w:hAnsi="Times New Roman"/>
                <w:b w:val="0"/>
                <w:sz w:val="20"/>
              </w:rPr>
              <w:t>[AD SOYAD / UNVAN] — T.C./Vergi No: [ ] — Adres: [ ]</w:t>
            </w:r>
          </w:p>
        </w:tc>
      </w:tr>
      <w:tr>
        <w:tc>
          <w:tcPr>
            <w:tcW w:type="dxa" w:w="2948"/>
          </w:tcPr>
          <w:p>
            <w:r>
              <w:rPr>
                <w:rFonts w:ascii="Times New Roman" w:hAnsi="Times New Roman"/>
                <w:b/>
                <w:sz w:val="20"/>
              </w:rPr>
              <w:t>Kiracı</w:t>
            </w:r>
          </w:p>
        </w:tc>
        <w:tc>
          <w:tcPr>
            <w:tcW w:type="dxa" w:w="6463"/>
          </w:tcPr>
          <w:p>
            <w:r>
              <w:rPr>
                <w:rFonts w:ascii="Times New Roman" w:hAnsi="Times New Roman"/>
                <w:b w:val="0"/>
                <w:sz w:val="20"/>
              </w:rPr>
              <w:t>[AD SOYAD / UNVAN] — T.C./Vergi No: [ ] — Adres: [ ]</w:t>
            </w:r>
          </w:p>
        </w:tc>
      </w:tr>
      <w:tr>
        <w:tc>
          <w:tcPr>
            <w:tcW w:type="dxa" w:w="2948"/>
          </w:tcPr>
          <w:p>
            <w:r>
              <w:rPr>
                <w:rFonts w:ascii="Times New Roman" w:hAnsi="Times New Roman"/>
                <w:b/>
                <w:sz w:val="20"/>
              </w:rPr>
              <w:t>Başlangıç tarihi ve süre</w:t>
            </w:r>
          </w:p>
        </w:tc>
        <w:tc>
          <w:tcPr>
            <w:tcW w:type="dxa" w:w="6463"/>
          </w:tcPr>
          <w:p>
            <w:r>
              <w:rPr>
                <w:rFonts w:ascii="Times New Roman" w:hAnsi="Times New Roman"/>
                <w:b w:val="0"/>
                <w:sz w:val="20"/>
              </w:rPr>
              <w:t>[GG.AA.YYYY] — [iki (2)] yıl; sürenin sonunda kendiliğinden sona erer</w:t>
            </w:r>
          </w:p>
        </w:tc>
      </w:tr>
      <w:tr>
        <w:tc>
          <w:tcPr>
            <w:tcW w:type="dxa" w:w="2948"/>
          </w:tcPr>
          <w:p>
            <w:r>
              <w:rPr>
                <w:rFonts w:ascii="Times New Roman" w:hAnsi="Times New Roman"/>
                <w:b/>
                <w:sz w:val="20"/>
              </w:rPr>
              <w:t>Kira bedeli</w:t>
            </w:r>
          </w:p>
        </w:tc>
        <w:tc>
          <w:tcPr>
            <w:tcW w:type="dxa" w:w="6463"/>
          </w:tcPr>
          <w:p>
            <w:r>
              <w:rPr>
                <w:rFonts w:ascii="Times New Roman" w:hAnsi="Times New Roman"/>
                <w:b w:val="0"/>
                <w:sz w:val="20"/>
              </w:rPr>
              <w:t>Aylık [ ] TL / Yıllık [ ] TL — [aylık / üç aylık peşin] olarak [IBAN] hesabına</w:t>
            </w:r>
          </w:p>
        </w:tc>
      </w:tr>
      <w:tr>
        <w:tc>
          <w:tcPr>
            <w:tcW w:type="dxa" w:w="2948"/>
          </w:tcPr>
          <w:p>
            <w:r>
              <w:rPr>
                <w:rFonts w:ascii="Times New Roman" w:hAnsi="Times New Roman"/>
                <w:b/>
                <w:sz w:val="20"/>
              </w:rPr>
              <w:t>Güvence bedeli</w:t>
            </w:r>
          </w:p>
        </w:tc>
        <w:tc>
          <w:tcPr>
            <w:tcW w:type="dxa" w:w="6463"/>
          </w:tcPr>
          <w:p>
            <w:r>
              <w:rPr>
                <w:rFonts w:ascii="Times New Roman" w:hAnsi="Times New Roman"/>
                <w:b w:val="0"/>
                <w:sz w:val="20"/>
              </w:rPr>
              <w:t>[ ] TL</w:t>
            </w:r>
          </w:p>
        </w:tc>
      </w:tr>
      <w:tr>
        <w:tc>
          <w:tcPr>
            <w:tcW w:type="dxa" w:w="2948"/>
          </w:tcPr>
          <w:p>
            <w:r>
              <w:rPr>
                <w:rFonts w:ascii="Times New Roman" w:hAnsi="Times New Roman"/>
                <w:b/>
                <w:sz w:val="20"/>
              </w:rPr>
              <w:t>Kullanım amacı</w:t>
            </w:r>
          </w:p>
        </w:tc>
        <w:tc>
          <w:tcPr>
            <w:tcW w:type="dxa" w:w="6463"/>
          </w:tcPr>
          <w:p>
            <w:r>
              <w:rPr>
                <w:rFonts w:ascii="Times New Roman" w:hAnsi="Times New Roman"/>
                <w:b w:val="0"/>
                <w:sz w:val="20"/>
              </w:rPr>
              <w:t>[Açık otopark işletmesi / konteyner depolama / açık malzeme stok sahası] — yapı yapılmaksızın</w:t>
            </w:r>
          </w:p>
        </w:tc>
      </w:tr>
      <w:tr>
        <w:tc>
          <w:tcPr>
            <w:tcW w:type="dxa" w:w="2948"/>
          </w:tcPr>
          <w:p>
            <w:r>
              <w:rPr>
                <w:rFonts w:ascii="Times New Roman" w:hAnsi="Times New Roman"/>
                <w:b/>
                <w:sz w:val="20"/>
              </w:rPr>
              <w:t>Teslim durumu</w:t>
            </w:r>
          </w:p>
        </w:tc>
        <w:tc>
          <w:tcPr>
            <w:tcW w:type="dxa" w:w="6463"/>
          </w:tcPr>
          <w:p>
            <w:r>
              <w:rPr>
                <w:rFonts w:ascii="Times New Roman" w:hAnsi="Times New Roman"/>
                <w:b w:val="0"/>
                <w:sz w:val="20"/>
              </w:rPr>
              <w:t>Boş, çevrili [/ çevrilmemiş], üzerinde yapı bulunmayan</w:t>
            </w:r>
          </w:p>
        </w:tc>
      </w:tr>
    </w:tbl>
    <w:p/>
    <w:p>
      <w:r>
        <w:rPr>
          <w:rFonts w:ascii="Times New Roman" w:hAnsi="Times New Roman"/>
          <w:b/>
          <w:sz w:val="24"/>
        </w:rPr>
        <w:t>SÖZLEŞME HÜKÜMLERİ</w:t>
      </w:r>
    </w:p>
    <w:p>
      <w:r>
        <w:rPr>
          <w:rFonts w:ascii="Times New Roman" w:hAnsi="Times New Roman"/>
          <w:b/>
          <w:sz w:val="22"/>
        </w:rPr>
        <w:t>Madde 1 — Konu</w:t>
      </w:r>
    </w:p>
    <w:p>
      <w:pPr>
        <w:jc w:val="both"/>
      </w:pPr>
      <w:r>
        <w:rPr>
          <w:rFonts w:ascii="Times New Roman" w:hAnsi="Times New Roman"/>
          <w:b w:val="0"/>
          <w:sz w:val="22"/>
        </w:rPr>
        <w:t>Kiraya veren, yukarıda ada ve parseli yazılı çatısız taşınmazı, yalnızca [amaç] olarak ve üzerine kalıcı yapı yapılmaksızın kullanılmak üzere kiracıya kiralamıştır. Taraflar, bu kiralamanın konut ve çatılı işyeri kiralarına ilişkin hükümlere değil, kira sözleşmesinin genel hükümlerine tabi olduğunu bilmektedir.</w:t>
      </w:r>
    </w:p>
    <w:p>
      <w:r>
        <w:rPr>
          <w:rFonts w:ascii="Times New Roman" w:hAnsi="Times New Roman"/>
          <w:b/>
          <w:sz w:val="22"/>
        </w:rPr>
        <w:t>Madde 2 — Süre ve sona erme</w:t>
      </w:r>
    </w:p>
    <w:p>
      <w:pPr>
        <w:jc w:val="both"/>
      </w:pPr>
      <w:r>
        <w:rPr>
          <w:rFonts w:ascii="Times New Roman" w:hAnsi="Times New Roman"/>
          <w:b w:val="0"/>
          <w:sz w:val="22"/>
        </w:rPr>
        <w:t>Sözleşme [iki] yıl sürelidir ve sürenin sonunda bildirim gerekmeksizin kendiliğinden sona erer. Sürenin sonunda taraflar açık bir anlaşma olmaksızın kira ilişkisini sürdürürlerse sözleşme belirsiz süreli hâle gelir; bu durumda taraflardan her biri, altı aylık kira döneminin sonu için üç aylık fesih bildirim süresine uyarak sözleşmeyi feshedebilir. Taraflar, süre sonunda sözleşmeyi yazılı ek protokolle uzatabilir.</w:t>
      </w:r>
    </w:p>
    <w:p>
      <w:r>
        <w:rPr>
          <w:rFonts w:ascii="Times New Roman" w:hAnsi="Times New Roman"/>
          <w:b/>
          <w:sz w:val="22"/>
        </w:rPr>
        <w:t>Madde 3 — Kira bedeli, ödeme ve artış</w:t>
      </w:r>
    </w:p>
    <w:p>
      <w:pPr>
        <w:jc w:val="both"/>
      </w:pPr>
      <w:r>
        <w:rPr>
          <w:rFonts w:ascii="Times New Roman" w:hAnsi="Times New Roman"/>
          <w:b w:val="0"/>
          <w:sz w:val="22"/>
        </w:rPr>
        <w:t>Kira bedeli [aylık / üç aylık dönemler için peşin] olarak banka hesabına ödenir. Yenilenen her yılda kira bedeli, bir önceki yılın tüketici fiyat endeksindeki on iki aylık ortalamalara göre değişim oranında artırılır; taraflar farklı bir oran ya da yöntemi de yazılı olarak kararlaştırabilir. Kiraya veren gerçek kişi ve kiracı vergi mükellefi ise kira ödemesinden gelir vergisi tevkifatı yapılır.</w:t>
      </w:r>
    </w:p>
    <w:p>
      <w:r>
        <w:rPr>
          <w:rFonts w:ascii="Times New Roman" w:hAnsi="Times New Roman"/>
          <w:b/>
          <w:sz w:val="22"/>
        </w:rPr>
        <w:t>Madde 4 — Yapı yasağı ve geçici tesisler</w:t>
      </w:r>
    </w:p>
    <w:p>
      <w:pPr>
        <w:jc w:val="both"/>
      </w:pPr>
      <w:r>
        <w:rPr>
          <w:rFonts w:ascii="Times New Roman" w:hAnsi="Times New Roman"/>
          <w:b w:val="0"/>
          <w:sz w:val="22"/>
        </w:rPr>
        <w:t>Kiracı, taşınmaz üzerinde kalıcı yapı, temel, betonarme zemin, duvar ve benzeri inşaat yapamaz; yapı ruhsatı gerektiren hiçbir iş yürütemez. Konteyner, prefabrik kulübe, seyyar bariyer, kamera direği ve aydınlatma gibi sökülüp götürülebilir geçici tesisler, kiraya verenin yazılı onayıyla ve Ek 2’deki yerleşim planına uygun olarak kurulabilir. Onaysız kurulan tesis, kiraya verenin yazılı uyarısından itibaren on beş gün içinde kaldırılır; kaldırılmazsa kiraya veren masrafı kiracıya ait olmak üzere kaldırtabilir.</w:t>
      </w:r>
    </w:p>
    <w:p>
      <w:r>
        <w:rPr>
          <w:rFonts w:ascii="Times New Roman" w:hAnsi="Times New Roman"/>
          <w:b/>
          <w:sz w:val="22"/>
        </w:rPr>
        <w:t>Madde 5 — İzinler ve ruhsatlar</w:t>
      </w:r>
    </w:p>
    <w:p>
      <w:pPr>
        <w:jc w:val="both"/>
      </w:pPr>
      <w:r>
        <w:rPr>
          <w:rFonts w:ascii="Times New Roman" w:hAnsi="Times New Roman"/>
          <w:b w:val="0"/>
          <w:sz w:val="22"/>
        </w:rPr>
        <w:t>Otopark işletme ruhsatı, belediye ve ilgili kurum izinleri, çevre ve iş güvenliği yükümlülükleri kiracıya aittir. Kiraya veren, izin başvuruları için tapu örneği ve muvafakatname verir. Taşınmazın imar durumu Ek 1’de kiracıya gösterilmiştir; kiracı, imar durumunu bilerek sözleşmeyi imzalamıştır.</w:t>
      </w:r>
    </w:p>
    <w:p>
      <w:r>
        <w:rPr>
          <w:rFonts w:ascii="Times New Roman" w:hAnsi="Times New Roman"/>
          <w:b/>
          <w:sz w:val="22"/>
        </w:rPr>
        <w:t>Madde 6 — Çevre, güvenlik ve komşuluk</w:t>
      </w:r>
    </w:p>
    <w:p>
      <w:pPr>
        <w:jc w:val="both"/>
      </w:pPr>
      <w:r>
        <w:rPr>
          <w:rFonts w:ascii="Times New Roman" w:hAnsi="Times New Roman"/>
          <w:b w:val="0"/>
          <w:sz w:val="22"/>
        </w:rPr>
        <w:t>Kiracı, taşınmazı çevre kirliliğine yol açmayacak biçimde kullanır; hafriyat, atık ve tehlikeli madde depolayamaz; komşu parsellere zarar veremez; sınır ihlali yapamaz. Saha güvenliği, aydınlatma, çevre çiti ve kamera sistemi kiracıya aittir. Kiracının faaliyetinden dolayı kiraya verene kesilen idari para cezaları kiracıya rücu edilir.</w:t>
      </w:r>
    </w:p>
    <w:p>
      <w:r>
        <w:rPr>
          <w:rFonts w:ascii="Times New Roman" w:hAnsi="Times New Roman"/>
          <w:b/>
          <w:sz w:val="22"/>
        </w:rPr>
        <w:t>Madde 7 — Vergiler ve giderler</w:t>
      </w:r>
    </w:p>
    <w:p>
      <w:pPr>
        <w:jc w:val="both"/>
      </w:pPr>
      <w:r>
        <w:rPr>
          <w:rFonts w:ascii="Times New Roman" w:hAnsi="Times New Roman"/>
          <w:b w:val="0"/>
          <w:sz w:val="22"/>
        </w:rPr>
        <w:t>Emlak vergisi kiraya verene; elektrik, su, çevre temizlik vergisi, ilan-reklam vergisi ve işletmeye ilişkin tüm giderler kiracıya aittir. Bu sözleşmenin damga vergisi, süreye göre hesaplanan toplam kira bedeli üzerinden binde 1,89 oranında hesaplanır ve [kiracı] tarafından ödenir.</w:t>
      </w:r>
    </w:p>
    <w:p>
      <w:r>
        <w:rPr>
          <w:rFonts w:ascii="Times New Roman" w:hAnsi="Times New Roman"/>
          <w:b/>
          <w:sz w:val="22"/>
        </w:rPr>
        <w:t>Madde 8 — Güvence bedeli</w:t>
      </w:r>
    </w:p>
    <w:p>
      <w:pPr>
        <w:jc w:val="both"/>
      </w:pPr>
      <w:r>
        <w:rPr>
          <w:rFonts w:ascii="Times New Roman" w:hAnsi="Times New Roman"/>
          <w:b w:val="0"/>
          <w:sz w:val="22"/>
        </w:rPr>
        <w:t>Güvence bedeli banka hesabına yatırılır. Sözleşme sona erdiğinde taşınmazın boş, temiz ve teslim alındığı durumda geri verilmesinden sonra en geç on beş gün içinde iade edilir. Çatısız taşınmaz kiralarında güvence bedeli için kanuni üst sınır bulunmadığından tutar taraflarca serbestçe belirlenmiştir.</w:t>
      </w:r>
    </w:p>
    <w:p>
      <w:r>
        <w:rPr>
          <w:rFonts w:ascii="Times New Roman" w:hAnsi="Times New Roman"/>
          <w:b/>
          <w:sz w:val="22"/>
        </w:rPr>
        <w:t>Madde 9 — Alt kira ve devir</w:t>
      </w:r>
    </w:p>
    <w:p>
      <w:pPr>
        <w:jc w:val="both"/>
      </w:pPr>
      <w:r>
        <w:rPr>
          <w:rFonts w:ascii="Times New Roman" w:hAnsi="Times New Roman"/>
          <w:b w:val="0"/>
          <w:sz w:val="22"/>
        </w:rPr>
        <w:t>Kiracı, kiraya verene zarar verecek bir değişikliğe yol açmamak koşuluyla taşınmazı kısmen alt kiraya verebilir; ancak taraflar bu sözleşmeyle alt kira ve kullanım hakkının devrini kiraya verenin yazılı iznine bağlamıştır. Kira ilişkisinin devri de kiraya verenin yazılı rızasına bağlıdır.</w:t>
      </w:r>
    </w:p>
    <w:p>
      <w:r>
        <w:rPr>
          <w:rFonts w:ascii="Times New Roman" w:hAnsi="Times New Roman"/>
          <w:b/>
          <w:sz w:val="22"/>
        </w:rPr>
        <w:t>Madde 10 — Kiraya verenin taşınmazı satması</w:t>
      </w:r>
    </w:p>
    <w:p>
      <w:pPr>
        <w:jc w:val="both"/>
      </w:pPr>
      <w:r>
        <w:rPr>
          <w:rFonts w:ascii="Times New Roman" w:hAnsi="Times New Roman"/>
          <w:b w:val="0"/>
          <w:sz w:val="22"/>
        </w:rPr>
        <w:t>Kiraya veren, taşınmazı sözleşme süresi içinde satarsa yeni malik kira sözleşmesinin tarafı olur. Kiraya veren, satış hâlinde kiracıyı yazılı olarak bilgilendirir. Kiracının, bu sözleşmenin tapu kütüğüne şerh edilmesini istemesi hâlinde şerh giderleri kiracıya aittir.</w:t>
      </w:r>
    </w:p>
    <w:p>
      <w:r>
        <w:rPr>
          <w:rFonts w:ascii="Times New Roman" w:hAnsi="Times New Roman"/>
          <w:b/>
          <w:sz w:val="22"/>
        </w:rPr>
        <w:t>Madde 11 — Temerrüt</w:t>
      </w:r>
    </w:p>
    <w:p>
      <w:pPr>
        <w:jc w:val="both"/>
      </w:pPr>
      <w:r>
        <w:rPr>
          <w:rFonts w:ascii="Times New Roman" w:hAnsi="Times New Roman"/>
          <w:b w:val="0"/>
          <w:sz w:val="22"/>
        </w:rPr>
        <w:t>Kiracı muaccel kira bedelini ödemezse kiraya veren, yazılı bildirimle en az on günlük süre verir; sürede ödeme yapılmazsa sözleşmeyi feshedebilir.</w:t>
      </w:r>
    </w:p>
    <w:p>
      <w:r>
        <w:rPr>
          <w:rFonts w:ascii="Times New Roman" w:hAnsi="Times New Roman"/>
          <w:b/>
          <w:sz w:val="22"/>
        </w:rPr>
        <w:t>Madde 12 — Olağanüstü fesih</w:t>
      </w:r>
    </w:p>
    <w:p>
      <w:pPr>
        <w:jc w:val="both"/>
      </w:pPr>
      <w:r>
        <w:rPr>
          <w:rFonts w:ascii="Times New Roman" w:hAnsi="Times New Roman"/>
          <w:b w:val="0"/>
          <w:sz w:val="22"/>
        </w:rPr>
        <w:t>Kira ilişkisinin sürdürülmesini taraflardan biri için çekilmez hâle getiren önemli sebeplerin varlığında taraf, yasal fesih bildirim süresine uyarak sözleşmeyi her zaman feshedebilir. Taşınmazın kamulaştırılması veya imar uygulamasıyla kullanımının imkânsız hâle gelmesi bu sebeplerdendir.</w:t>
      </w:r>
    </w:p>
    <w:p>
      <w:r>
        <w:rPr>
          <w:rFonts w:ascii="Times New Roman" w:hAnsi="Times New Roman"/>
          <w:b/>
          <w:sz w:val="22"/>
        </w:rPr>
        <w:t>Madde 13 — Geri verme</w:t>
      </w:r>
    </w:p>
    <w:p>
      <w:pPr>
        <w:jc w:val="both"/>
      </w:pPr>
      <w:r>
        <w:rPr>
          <w:rFonts w:ascii="Times New Roman" w:hAnsi="Times New Roman"/>
          <w:b w:val="0"/>
          <w:sz w:val="22"/>
        </w:rPr>
        <w:t>Sözleşme sona erdiğinde kiracı, geçici tesisleri söker, atıkları kaldırır, zemini teslim aldığı hâle getirir ve taşınmazı boş olarak geri verir. Kiraya veren, kiracının sorumlu olduğu eksiklikleri geri verme sırasında hemen yazılı olarak bildirir. Sökülmeyen tesis ve kaldırılmayan malzeme, on beş günlük yazılı uyarıdan sonra kiracı hesabına kaldırılır.</w:t>
      </w:r>
    </w:p>
    <w:p>
      <w:r>
        <w:rPr>
          <w:rFonts w:ascii="Times New Roman" w:hAnsi="Times New Roman"/>
          <w:b/>
          <w:sz w:val="22"/>
        </w:rPr>
        <w:t>Madde 14 — Tebligat ve uyuşmazlık</w:t>
      </w:r>
    </w:p>
    <w:p>
      <w:pPr>
        <w:jc w:val="both"/>
      </w:pPr>
      <w:r>
        <w:rPr>
          <w:rFonts w:ascii="Times New Roman" w:hAnsi="Times New Roman"/>
          <w:b w:val="0"/>
          <w:sz w:val="22"/>
        </w:rPr>
        <w:t>Tarafların yukarıdaki adresleri tebligat adresidir. Uyuşmazlıklarda dava açılmadan önce arabulucuya başvurulması dava şartıdır. Taraflar tacir ise [İL] mahkemeleri ve icra daireleri yetkilidir; aksi hâlde yetki kanuni kurallara göre belirlenir.</w:t>
      </w:r>
    </w:p>
    <w:p>
      <w:r>
        <w:rPr>
          <w:rFonts w:ascii="Times New Roman" w:hAnsi="Times New Roman"/>
          <w:b/>
          <w:sz w:val="22"/>
        </w:rPr>
        <w:t>Madde 15 — Nüsha</w:t>
      </w:r>
    </w:p>
    <w:p>
      <w:pPr>
        <w:jc w:val="both"/>
      </w:pPr>
      <w:r>
        <w:rPr>
          <w:rFonts w:ascii="Times New Roman" w:hAnsi="Times New Roman"/>
          <w:b w:val="0"/>
          <w:sz w:val="22"/>
        </w:rPr>
        <w:t>On beş madde ve iki ekten oluşan bu sözleşme iki nüsha düzenlenmiş, [GG.AA.YYYY] tarihinde imzalanmıştır.</w:t>
      </w:r>
    </w:p>
    <w:p/>
    <w:p>
      <w:r>
        <w:rPr>
          <w:rFonts w:ascii="Times New Roman" w:hAnsi="Times New Roman"/>
          <w:b/>
          <w:sz w:val="22"/>
        </w:rPr>
        <w:t>EK 1 — İMAR DURUM BELGESİ VE TAPU ÖRNEĞİ</w:t>
      </w:r>
    </w:p>
    <w:p>
      <w:r>
        <w:rPr>
          <w:rFonts w:ascii="Times New Roman" w:hAnsi="Times New Roman"/>
          <w:b w:val="0"/>
          <w:sz w:val="21"/>
        </w:rPr>
        <w:t>[Belediye imar durum belgesi tarih/sayı: ...] — [Tapu kaydı örneği]</w:t>
      </w:r>
    </w:p>
    <w:p/>
    <w:p>
      <w:r>
        <w:rPr>
          <w:rFonts w:ascii="Times New Roman" w:hAnsi="Times New Roman"/>
          <w:b/>
          <w:sz w:val="22"/>
        </w:rPr>
        <w:t>EK 2 — YERLEŞİM PLANI VE ONAYLI GEÇİCİ TESİSLER</w:t>
      </w:r>
    </w:p>
    <w:p>
      <w:r>
        <w:rPr>
          <w:rFonts w:ascii="Times New Roman" w:hAnsi="Times New Roman"/>
          <w:b w:val="0"/>
          <w:sz w:val="21"/>
        </w:rPr>
        <w:t>Konteyner [ ] adet ([ ] m² her biri) — Kulübe [ ] adet — Çevre çiti [ ] m — Aydınlatma direği [ ] adet — Kamera [ ] adet</w:t>
      </w:r>
    </w:p>
    <w:p/>
    <w:tbl>
      <w:tblPr>
        <w:tblW w:type="auto" w:w="0"/>
        <w:jc w:val="center"/>
        <w:tblLook w:firstColumn="1" w:firstRow="1" w:lastColumn="0" w:lastRow="0" w:noHBand="0" w:noVBand="1" w:val="04A0"/>
      </w:tblPr>
      <w:tblGrid>
        <w:gridCol w:w="4873"/>
        <w:gridCol w:w="4873"/>
      </w:tblGrid>
      <w:tr>
        <w:tc>
          <w:tcPr>
            <w:tcW w:type="dxa" w:w="4873"/>
          </w:tcPr>
          <w:p>
            <w:pPr>
              <w:jc w:val="center"/>
            </w:pPr>
            <w:r>
              <w:rPr>
                <w:rFonts w:ascii="Times New Roman" w:hAnsi="Times New Roman"/>
                <w:b/>
                <w:sz w:val="20"/>
              </w:rPr>
              <w:t>KİRAYA VEREN (MALİK)</w:t>
            </w:r>
          </w:p>
        </w:tc>
        <w:tc>
          <w:tcPr>
            <w:tcW w:type="dxa" w:w="4873"/>
          </w:tcPr>
          <w:p>
            <w:pPr>
              <w:jc w:val="center"/>
            </w:pPr>
            <w:r>
              <w:rPr>
                <w:rFonts w:ascii="Times New Roman" w:hAnsi="Times New Roman"/>
                <w:b/>
                <w:sz w:val="20"/>
              </w:rPr>
              <w:t>KİRACI</w:t>
            </w:r>
          </w:p>
        </w:tc>
      </w:tr>
      <w:tr>
        <w:tc>
          <w:tcPr>
            <w:tcW w:type="dxa" w:w="4873"/>
          </w:tcPr>
          <w:p>
            <w:pPr>
              <w:jc w:val="center"/>
            </w:pPr>
            <w:r>
              <w:rPr>
                <w:rFonts w:ascii="Times New Roman" w:hAnsi="Times New Roman"/>
                <w:b w:val="0"/>
                <w:sz w:val="20"/>
              </w:rPr>
              <w:br/>
              <w:br/>
              <w:t>Ad Soyad:</w:t>
              <w:br/>
              <w:br/>
              <w:t>İmza:</w:t>
            </w:r>
          </w:p>
        </w:tc>
        <w:tc>
          <w:tcPr>
            <w:tcW w:type="dxa" w:w="4873"/>
          </w:tcPr>
          <w:p>
            <w:pPr>
              <w:jc w:val="center"/>
            </w:pPr>
            <w:r>
              <w:rPr>
                <w:rFonts w:ascii="Times New Roman" w:hAnsi="Times New Roman"/>
                <w:b w:val="0"/>
                <w:sz w:val="20"/>
              </w:rPr>
              <w:br/>
              <w:br/>
              <w:t>Ad Soyad:</w:t>
              <w:br/>
              <w:br/>
              <w:t>İmza:</w:t>
            </w:r>
          </w:p>
        </w:tc>
      </w:tr>
    </w:tbl>
    <w:p/>
    <w:p>
      <w:r>
        <w:rPr>
          <w:rFonts w:ascii="Times New Roman" w:hAnsi="Times New Roman"/>
          <w:b w:val="0"/>
          <w:sz w:val="16"/>
        </w:rPr>
        <w:t>Bu belge www.ferhatsatan.com adresinde yayımlanan “Gayrimenkul Kira Sözleşmesi Örnekleri” yazısının ekidir. Örnek niteliğindedir; köşeli parantez içindeki alanlar somut duruma göre doldurulmalı, gerekmeyen seçenekler silinmelidir. Hukuki tavsiye yerine geçmez.</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