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SEZONLUK YAZLIK KİRA SÖZLEŞMESİ (GEÇİCİ KULLANIM, ALTI AY VE DAHA KISA)</w:t>
      </w:r>
    </w:p>
    <w:p>
      <w:pPr>
        <w:jc w:val="center"/>
      </w:pPr>
      <w:r>
        <w:rPr>
          <w:rFonts w:ascii="Times New Roman" w:hAnsi="Times New Roman"/>
          <w:b w:val="0"/>
          <w:sz w:val="20"/>
        </w:rPr>
        <w:t>Sözleşme No: [ ]    Düzenleme yeri ve tarihi: [İL], [GG.AA.YYYY]</w:t>
      </w:r>
    </w:p>
    <w:tbl>
      <w:tblPr>
        <w:tblStyle w:val="TableGrid"/>
        <w:tblW w:type="auto" w:w="0"/>
        <w:jc w:val="center"/>
        <w:tblLayout w:type="fixed"/>
        <w:tblLook w:firstColumn="1" w:firstRow="1" w:lastColumn="0" w:lastRow="0" w:noHBand="0" w:noVBand="1" w:val="04A0"/>
      </w:tblPr>
      <w:tblGrid>
        <w:gridCol w:w="4873"/>
        <w:gridCol w:w="4873"/>
      </w:tblGrid>
      <w:tr>
        <w:tc>
          <w:tcPr>
            <w:tcW w:type="dxa" w:w="2948"/>
          </w:tcPr>
          <w:p>
            <w:r>
              <w:rPr>
                <w:rFonts w:ascii="Times New Roman" w:hAnsi="Times New Roman"/>
                <w:b/>
                <w:sz w:val="20"/>
              </w:rPr>
              <w:t>Kiralananın adresi</w:t>
            </w:r>
          </w:p>
        </w:tc>
        <w:tc>
          <w:tcPr>
            <w:tcW w:type="dxa" w:w="6463"/>
          </w:tcPr>
          <w:p>
            <w:r>
              <w:rPr>
                <w:rFonts w:ascii="Times New Roman" w:hAnsi="Times New Roman"/>
                <w:b w:val="0"/>
                <w:sz w:val="20"/>
              </w:rPr>
              <w:t>[MAHALLE], [SOKAK], No: [ ], [Site adı, blok, daire], [İLÇE]/[İL]</w:t>
            </w:r>
          </w:p>
        </w:tc>
      </w:tr>
      <w:tr>
        <w:tc>
          <w:tcPr>
            <w:tcW w:type="dxa" w:w="2948"/>
          </w:tcPr>
          <w:p>
            <w:r>
              <w:rPr>
                <w:rFonts w:ascii="Times New Roman" w:hAnsi="Times New Roman"/>
                <w:b/>
                <w:sz w:val="20"/>
              </w:rPr>
              <w:t>Kiralananın cinsi ve niteliği</w:t>
            </w:r>
          </w:p>
        </w:tc>
        <w:tc>
          <w:tcPr>
            <w:tcW w:type="dxa" w:w="6463"/>
          </w:tcPr>
          <w:p>
            <w:r>
              <w:rPr>
                <w:rFonts w:ascii="Times New Roman" w:hAnsi="Times New Roman"/>
                <w:b w:val="0"/>
                <w:sz w:val="20"/>
              </w:rPr>
              <w:t>Yazlık [daire / müstakil ev]; yılın yalnızca yaz aylarında geçici kullanıma özgülenmiştir</w:t>
            </w:r>
          </w:p>
        </w:tc>
      </w:tr>
      <w:tr>
        <w:tc>
          <w:tcPr>
            <w:tcW w:type="dxa" w:w="2948"/>
          </w:tcPr>
          <w:p>
            <w:r>
              <w:rPr>
                <w:rFonts w:ascii="Times New Roman" w:hAnsi="Times New Roman"/>
                <w:b/>
                <w:sz w:val="20"/>
              </w:rPr>
              <w:t>Kiraya veren</w:t>
            </w:r>
          </w:p>
        </w:tc>
        <w:tc>
          <w:tcPr>
            <w:tcW w:type="dxa" w:w="6463"/>
          </w:tcPr>
          <w:p>
            <w:r>
              <w:rPr>
                <w:rFonts w:ascii="Times New Roman" w:hAnsi="Times New Roman"/>
                <w:b w:val="0"/>
                <w:sz w:val="20"/>
              </w:rPr>
              <w:t>[AD SOYAD] — T.C. Kimlik No: [ ] — Adres: [ ]</w:t>
            </w:r>
          </w:p>
        </w:tc>
      </w:tr>
      <w:tr>
        <w:tc>
          <w:tcPr>
            <w:tcW w:type="dxa" w:w="2948"/>
          </w:tcPr>
          <w:p>
            <w:r>
              <w:rPr>
                <w:rFonts w:ascii="Times New Roman" w:hAnsi="Times New Roman"/>
                <w:b/>
                <w:sz w:val="20"/>
              </w:rPr>
              <w:t>Kiracı</w:t>
            </w:r>
          </w:p>
        </w:tc>
        <w:tc>
          <w:tcPr>
            <w:tcW w:type="dxa" w:w="6463"/>
          </w:tcPr>
          <w:p>
            <w:r>
              <w:rPr>
                <w:rFonts w:ascii="Times New Roman" w:hAnsi="Times New Roman"/>
                <w:b w:val="0"/>
                <w:sz w:val="20"/>
              </w:rPr>
              <w:t>[AD SOYAD] — T.C. Kimlik No: [ ] — Adres: [ ]</w:t>
            </w:r>
          </w:p>
        </w:tc>
      </w:tr>
      <w:tr>
        <w:tc>
          <w:tcPr>
            <w:tcW w:type="dxa" w:w="2948"/>
          </w:tcPr>
          <w:p>
            <w:r>
              <w:rPr>
                <w:rFonts w:ascii="Times New Roman" w:hAnsi="Times New Roman"/>
                <w:b/>
                <w:sz w:val="20"/>
              </w:rPr>
              <w:t>Kira dönemi</w:t>
            </w:r>
          </w:p>
        </w:tc>
        <w:tc>
          <w:tcPr>
            <w:tcW w:type="dxa" w:w="6463"/>
          </w:tcPr>
          <w:p>
            <w:r>
              <w:rPr>
                <w:rFonts w:ascii="Times New Roman" w:hAnsi="Times New Roman"/>
                <w:b w:val="0"/>
                <w:sz w:val="20"/>
              </w:rPr>
              <w:t>[15.05.YYYY] — [30.09.YYYY] arası ([ ] gün, altı ayı aşmaz)</w:t>
            </w:r>
          </w:p>
        </w:tc>
      </w:tr>
      <w:tr>
        <w:tc>
          <w:tcPr>
            <w:tcW w:type="dxa" w:w="2948"/>
          </w:tcPr>
          <w:p>
            <w:r>
              <w:rPr>
                <w:rFonts w:ascii="Times New Roman" w:hAnsi="Times New Roman"/>
                <w:b/>
                <w:sz w:val="20"/>
              </w:rPr>
              <w:t>Toplam kira bedeli</w:t>
            </w:r>
          </w:p>
        </w:tc>
        <w:tc>
          <w:tcPr>
            <w:tcW w:type="dxa" w:w="6463"/>
          </w:tcPr>
          <w:p>
            <w:r>
              <w:rPr>
                <w:rFonts w:ascii="Times New Roman" w:hAnsi="Times New Roman"/>
                <w:b w:val="0"/>
                <w:sz w:val="20"/>
              </w:rPr>
              <w:t>[ ] TL — [tamamı imzada / yüzde 50’si imzada, kalanı 1 Temmuz’da] banka hesabına</w:t>
            </w:r>
          </w:p>
        </w:tc>
      </w:tr>
      <w:tr>
        <w:tc>
          <w:tcPr>
            <w:tcW w:type="dxa" w:w="2948"/>
          </w:tcPr>
          <w:p>
            <w:r>
              <w:rPr>
                <w:rFonts w:ascii="Times New Roman" w:hAnsi="Times New Roman"/>
                <w:b/>
                <w:sz w:val="20"/>
              </w:rPr>
              <w:t>Güvence bedeli</w:t>
            </w:r>
          </w:p>
        </w:tc>
        <w:tc>
          <w:tcPr>
            <w:tcW w:type="dxa" w:w="6463"/>
          </w:tcPr>
          <w:p>
            <w:r>
              <w:rPr>
                <w:rFonts w:ascii="Times New Roman" w:hAnsi="Times New Roman"/>
                <w:b w:val="0"/>
                <w:sz w:val="20"/>
              </w:rPr>
              <w:t>[ ] TL</w:t>
            </w:r>
          </w:p>
        </w:tc>
      </w:tr>
      <w:tr>
        <w:tc>
          <w:tcPr>
            <w:tcW w:type="dxa" w:w="2948"/>
          </w:tcPr>
          <w:p>
            <w:r>
              <w:rPr>
                <w:rFonts w:ascii="Times New Roman" w:hAnsi="Times New Roman"/>
                <w:b/>
                <w:sz w:val="20"/>
              </w:rPr>
              <w:t>Kullanım amacı</w:t>
            </w:r>
          </w:p>
        </w:tc>
        <w:tc>
          <w:tcPr>
            <w:tcW w:type="dxa" w:w="6463"/>
          </w:tcPr>
          <w:p>
            <w:r>
              <w:rPr>
                <w:rFonts w:ascii="Times New Roman" w:hAnsi="Times New Roman"/>
                <w:b w:val="0"/>
                <w:sz w:val="20"/>
              </w:rPr>
              <w:t>Yalnızca kiracı ve ailesinin tatil amaçlı geçici konaklaması</w:t>
            </w:r>
          </w:p>
        </w:tc>
      </w:tr>
      <w:tr>
        <w:tc>
          <w:tcPr>
            <w:tcW w:type="dxa" w:w="2948"/>
          </w:tcPr>
          <w:p>
            <w:r>
              <w:rPr>
                <w:rFonts w:ascii="Times New Roman" w:hAnsi="Times New Roman"/>
                <w:b/>
                <w:sz w:val="20"/>
              </w:rPr>
              <w:t>Konaklayacak kişi sayısı</w:t>
            </w:r>
          </w:p>
        </w:tc>
        <w:tc>
          <w:tcPr>
            <w:tcW w:type="dxa" w:w="6463"/>
          </w:tcPr>
          <w:p>
            <w:r>
              <w:rPr>
                <w:rFonts w:ascii="Times New Roman" w:hAnsi="Times New Roman"/>
                <w:b w:val="0"/>
                <w:sz w:val="20"/>
              </w:rPr>
              <w:t>En fazla [ ] kişi</w:t>
            </w:r>
          </w:p>
        </w:tc>
      </w:tr>
      <w:tr>
        <w:tc>
          <w:tcPr>
            <w:tcW w:type="dxa" w:w="2948"/>
          </w:tcPr>
          <w:p>
            <w:r>
              <w:rPr>
                <w:rFonts w:ascii="Times New Roman" w:hAnsi="Times New Roman"/>
                <w:b/>
                <w:sz w:val="20"/>
              </w:rPr>
              <w:t>Demirbaşlar</w:t>
            </w:r>
          </w:p>
        </w:tc>
        <w:tc>
          <w:tcPr>
            <w:tcW w:type="dxa" w:w="6463"/>
          </w:tcPr>
          <w:p>
            <w:r>
              <w:rPr>
                <w:rFonts w:ascii="Times New Roman" w:hAnsi="Times New Roman"/>
                <w:b w:val="0"/>
                <w:sz w:val="20"/>
              </w:rPr>
              <w:t>Ek 1’deki liste</w:t>
            </w:r>
          </w:p>
        </w:tc>
      </w:tr>
    </w:tbl>
    <w:p/>
    <w:p>
      <w:r>
        <w:rPr>
          <w:rFonts w:ascii="Times New Roman" w:hAnsi="Times New Roman"/>
          <w:b/>
          <w:sz w:val="24"/>
        </w:rPr>
        <w:t>SÖZLEŞME HÜKÜMLERİ</w:t>
      </w:r>
    </w:p>
    <w:p>
      <w:r>
        <w:rPr>
          <w:rFonts w:ascii="Times New Roman" w:hAnsi="Times New Roman"/>
          <w:b/>
          <w:sz w:val="22"/>
        </w:rPr>
        <w:t>Madde 1 — Konu ve geçici kullanım niteliği</w:t>
      </w:r>
    </w:p>
    <w:p>
      <w:pPr>
        <w:jc w:val="both"/>
      </w:pPr>
      <w:r>
        <w:rPr>
          <w:rFonts w:ascii="Times New Roman" w:hAnsi="Times New Roman"/>
          <w:b w:val="0"/>
          <w:sz w:val="22"/>
        </w:rPr>
        <w:t>Kiraya veren, niteliği gereği yalnızca yaz aylarında geçici kullanıma özgülenmiş olan yukarıdaki yazlığı, [15.05.YYYY]-[30.09.YYYY] tarihleri arasında tatil amaçlı geçici konaklama için kiracıya kiralamıştır. Taraflar, kiralananın altı ay ve daha kısa süreli bu kiralamasına konut ve çatılı işyeri kiralarına ilişkin koruyucu hükümlerin değil, kira sözleşmesine ilişkin genel hükümlerin uygulanacağını bilerek sözleşmeyi imzalamışlardır.</w:t>
      </w:r>
    </w:p>
    <w:p>
      <w:r>
        <w:rPr>
          <w:rFonts w:ascii="Times New Roman" w:hAnsi="Times New Roman"/>
          <w:b/>
          <w:sz w:val="22"/>
        </w:rPr>
        <w:t>Madde 2 — Süre ve kendiliğinden sona erme</w:t>
      </w:r>
    </w:p>
    <w:p>
      <w:pPr>
        <w:jc w:val="both"/>
      </w:pPr>
      <w:r>
        <w:rPr>
          <w:rFonts w:ascii="Times New Roman" w:hAnsi="Times New Roman"/>
          <w:b w:val="0"/>
          <w:sz w:val="22"/>
        </w:rPr>
        <w:t>Sözleşme belirli sürelidir; kararlaştırılan sürenin sonunda hiçbir bildirim gerekmeksizin kendiliğinden sona erer. Kiracı, [30.09.YYYY] günü en geç saat [12.00]’ye kadar kiralananı boşaltıp anahtarları teslim eder. Sürenin sonunda tarafların açık anlaşması olmaksızın kira ilişkisinin sürdürülmesi, sözleşmeyi belirsiz süreli hâle getirir; bu sonucu istemeyen kiraya veren süre sonunda kiralananı teslim alır.</w:t>
      </w:r>
    </w:p>
    <w:p>
      <w:r>
        <w:rPr>
          <w:rFonts w:ascii="Times New Roman" w:hAnsi="Times New Roman"/>
          <w:b/>
          <w:sz w:val="22"/>
        </w:rPr>
        <w:t>Madde 3 — Kira bedeli ve ödeme</w:t>
      </w:r>
    </w:p>
    <w:p>
      <w:pPr>
        <w:jc w:val="both"/>
      </w:pPr>
      <w:r>
        <w:rPr>
          <w:rFonts w:ascii="Times New Roman" w:hAnsi="Times New Roman"/>
          <w:b w:val="0"/>
          <w:sz w:val="22"/>
        </w:rPr>
        <w:t>Toplam kira bedeli [ ] TL’dir ve [tamamı sözleşmenin imzasında / yüzde 50’si imzada, kalanı 1 Temmuz’da] kiraya verenin banka hesabına ödenir. Kısa süreli konut kiralamalarında da ödemelerin banka veya PTT aracılığıyla yapılması vergi mevzuatı gereği zorunludur. Kiracı, sezonu kısaltarak erken çıkarsa kalan dönem kirası, kiralananın aynı sezon içinde benzer koşullarla yeniden kiralanabileceği makul süre için ödenmeye devam eder.</w:t>
      </w:r>
    </w:p>
    <w:p>
      <w:r>
        <w:rPr>
          <w:rFonts w:ascii="Times New Roman" w:hAnsi="Times New Roman"/>
          <w:b/>
          <w:sz w:val="22"/>
        </w:rPr>
        <w:t>Madde 4 — Güvence bedeli</w:t>
      </w:r>
    </w:p>
    <w:p>
      <w:pPr>
        <w:jc w:val="both"/>
      </w:pPr>
      <w:r>
        <w:rPr>
          <w:rFonts w:ascii="Times New Roman" w:hAnsi="Times New Roman"/>
          <w:b w:val="0"/>
          <w:sz w:val="22"/>
        </w:rPr>
        <w:t>Güvence bedeli sözleşmenin imzasında banka hesabına yatırılır. Sezon sonunda demirbaş kontrolü ve sayaç okuması yapıldıktan sonra, kiracının sorumlu olduğu hasar ve tüketim bedelleri düşülerek en geç [yedi] gün içinde iade edilir.</w:t>
      </w:r>
    </w:p>
    <w:p>
      <w:r>
        <w:rPr>
          <w:rFonts w:ascii="Times New Roman" w:hAnsi="Times New Roman"/>
          <w:b/>
          <w:sz w:val="22"/>
        </w:rPr>
        <w:t>Madde 5 — Tüketim giderleri</w:t>
      </w:r>
    </w:p>
    <w:p>
      <w:pPr>
        <w:jc w:val="both"/>
      </w:pPr>
      <w:r>
        <w:rPr>
          <w:rFonts w:ascii="Times New Roman" w:hAnsi="Times New Roman"/>
          <w:b w:val="0"/>
          <w:sz w:val="22"/>
        </w:rPr>
        <w:t>Elektrik ve su, teslim ve tahliye tarihindeki sayaç endeksleri arasındaki fark üzerinden kiracıya aittir; endeksler Ek 1’e yazılır. Site aidatı kiraya verene aittir. İnternet, tüp ve benzeri giderler [kiracıya / kiraya verene] aittir.</w:t>
      </w:r>
    </w:p>
    <w:p>
      <w:r>
        <w:rPr>
          <w:rFonts w:ascii="Times New Roman" w:hAnsi="Times New Roman"/>
          <w:b/>
          <w:sz w:val="22"/>
        </w:rPr>
        <w:t>Madde 6 — Demirbaşlar ve teslim</w:t>
      </w:r>
    </w:p>
    <w:p>
      <w:pPr>
        <w:jc w:val="both"/>
      </w:pPr>
      <w:r>
        <w:rPr>
          <w:rFonts w:ascii="Times New Roman" w:hAnsi="Times New Roman"/>
          <w:b w:val="0"/>
          <w:sz w:val="22"/>
        </w:rPr>
        <w:t>Kiralanan, Ek 1’deki mobilya, beyaz eşya ve mutfak gereçleriyle temiz ve çalışır durumda teslim edilmiştir. Kiracı, teslimden itibaren yirmi dört saat içinde bildirmediği eksiklik ve ayıpları kabul etmiş sayılır. Tahliyede kiralanan aynı düzende ve temizlenmiş olarak geri verilir; olağan kullanımdan doğan yıpranma kiracıya yüklenemez.</w:t>
      </w:r>
    </w:p>
    <w:p>
      <w:r>
        <w:rPr>
          <w:rFonts w:ascii="Times New Roman" w:hAnsi="Times New Roman"/>
          <w:b/>
          <w:sz w:val="22"/>
        </w:rPr>
        <w:t>Madde 7 — Kullanım kuralları</w:t>
      </w:r>
    </w:p>
    <w:p>
      <w:pPr>
        <w:jc w:val="both"/>
      </w:pPr>
      <w:r>
        <w:rPr>
          <w:rFonts w:ascii="Times New Roman" w:hAnsi="Times New Roman"/>
          <w:b w:val="0"/>
          <w:sz w:val="22"/>
        </w:rPr>
        <w:t>Kiralananda en fazla [ ] kişi konaklar; kiracı, kiralananı üçüncü kişilere kısmen veya tamamen kiralayamaz, günlük konaklama amacıyla kullandıramaz, ilan platformlarında yayınlayamaz. Site yönetim kurallarına, sessizlik saatlerine ve havuz-plaj kullanım düzenine uyulur. Kiralananda ticari çekim, organizasyon ve kalabalık toplantı yapılamaz.</w:t>
      </w:r>
    </w:p>
    <w:p>
      <w:r>
        <w:rPr>
          <w:rFonts w:ascii="Times New Roman" w:hAnsi="Times New Roman"/>
          <w:b/>
          <w:sz w:val="22"/>
        </w:rPr>
        <w:t>Madde 8 — Evcil hayvan, sigara ve bahçe</w:t>
      </w:r>
    </w:p>
    <w:p>
      <w:pPr>
        <w:jc w:val="both"/>
      </w:pPr>
      <w:r>
        <w:rPr>
          <w:rFonts w:ascii="Times New Roman" w:hAnsi="Times New Roman"/>
          <w:b w:val="0"/>
          <w:sz w:val="22"/>
        </w:rPr>
        <w:t>Evcil hayvan bulundurulması [serbesttir / izne bağlıdır]. Kapalı alanda sigara içilmez. Bahçe ve bitkilerin sulanması sezon boyunca kiracıya aittir; bahçe bakım gideri kiraya verene aittir.</w:t>
      </w:r>
    </w:p>
    <w:p>
      <w:r>
        <w:rPr>
          <w:rFonts w:ascii="Times New Roman" w:hAnsi="Times New Roman"/>
          <w:b/>
          <w:sz w:val="22"/>
        </w:rPr>
        <w:t>Madde 9 — Arıza ve onarım</w:t>
      </w:r>
    </w:p>
    <w:p>
      <w:pPr>
        <w:jc w:val="both"/>
      </w:pPr>
      <w:r>
        <w:rPr>
          <w:rFonts w:ascii="Times New Roman" w:hAnsi="Times New Roman"/>
          <w:b w:val="0"/>
          <w:sz w:val="22"/>
        </w:rPr>
        <w:t>Klima, su motoru, şofben ve beyaz eşyanın kiracının kusurundan kaynaklanmayan arızaları kiraya veren tarafından, bildirimden itibaren en geç [üç] gün içinde giderilir; bu sürede giderilmezse kiracı, kullanılamayan günler için kira bedelinden orantılı indirim isteyebilir. Kullanım hatasından doğan arızalar kiracıya aittir.</w:t>
      </w:r>
    </w:p>
    <w:p>
      <w:r>
        <w:rPr>
          <w:rFonts w:ascii="Times New Roman" w:hAnsi="Times New Roman"/>
          <w:b/>
          <w:sz w:val="22"/>
        </w:rPr>
        <w:t>Madde 10 — Sorumluluk</w:t>
      </w:r>
    </w:p>
    <w:p>
      <w:pPr>
        <w:jc w:val="both"/>
      </w:pPr>
      <w:r>
        <w:rPr>
          <w:rFonts w:ascii="Times New Roman" w:hAnsi="Times New Roman"/>
          <w:b w:val="0"/>
          <w:sz w:val="22"/>
        </w:rPr>
        <w:t>Kiracı, konaklayanların ve misafirlerinin kiralanana, site ortak alanlarına ve komşulara verdiği zararlardan sorumludur. Kiraya veren, kiracının kendi eşyasının kaybından ve site içinde meydana gelen kazalardan, kendi kusuru bulunmadıkça sorumlu değildir.</w:t>
      </w:r>
    </w:p>
    <w:p>
      <w:r>
        <w:rPr>
          <w:rFonts w:ascii="Times New Roman" w:hAnsi="Times New Roman"/>
          <w:b/>
          <w:sz w:val="22"/>
        </w:rPr>
        <w:t>Madde 11 — Fesih</w:t>
      </w:r>
    </w:p>
    <w:p>
      <w:pPr>
        <w:jc w:val="both"/>
      </w:pPr>
      <w:r>
        <w:rPr>
          <w:rFonts w:ascii="Times New Roman" w:hAnsi="Times New Roman"/>
          <w:b w:val="0"/>
          <w:sz w:val="22"/>
        </w:rPr>
        <w:t>Kiracının kullanım kurallarını ağır biçimde ihlal etmesi, kiralananı başkasına kullandırması veya ödemeyi yapmaması hâlinde kiraya veren, yazılı bildirimle en az on günlük süre verir; sürede ihlal giderilmezse sözleşmeyi feshedebilir. Kira ilişkisinin sürdürülmesini çekilmez kılan önemli sebeplerde tarafların olağanüstü fesih hakkı saklıdır.</w:t>
      </w:r>
    </w:p>
    <w:p>
      <w:r>
        <w:rPr>
          <w:rFonts w:ascii="Times New Roman" w:hAnsi="Times New Roman"/>
          <w:b/>
          <w:sz w:val="22"/>
        </w:rPr>
        <w:t>Madde 12 — Tebligat ve uyuşmazlık</w:t>
      </w:r>
    </w:p>
    <w:p>
      <w:pPr>
        <w:jc w:val="both"/>
      </w:pPr>
      <w:r>
        <w:rPr>
          <w:rFonts w:ascii="Times New Roman" w:hAnsi="Times New Roman"/>
          <w:b w:val="0"/>
          <w:sz w:val="22"/>
        </w:rPr>
        <w:t>Tarafların yukarıdaki adresleri tebligat adresidir; kısa mesaj ve e-posta yoluyla yapılan bildirimler bilgilendirme amaçlıdır, fesih bildirimi yazılı yapılır. Gerçek kişiler arasındaki konut amaçlı bu sözleşme damga vergisinden istisnadır. Uyuşmazlıklarda dava açılmadan önce arabulucuya başvurulması dava şartıdır.</w:t>
      </w:r>
    </w:p>
    <w:p>
      <w:r>
        <w:rPr>
          <w:rFonts w:ascii="Times New Roman" w:hAnsi="Times New Roman"/>
          <w:b/>
          <w:sz w:val="22"/>
        </w:rPr>
        <w:t>Madde 13 — Nüsha</w:t>
      </w:r>
    </w:p>
    <w:p>
      <w:pPr>
        <w:jc w:val="both"/>
      </w:pPr>
      <w:r>
        <w:rPr>
          <w:rFonts w:ascii="Times New Roman" w:hAnsi="Times New Roman"/>
          <w:b w:val="0"/>
          <w:sz w:val="22"/>
        </w:rPr>
        <w:t>On üç madde ve bir ekten oluşan bu sözleşme iki nüsha düzenlenmiş, [GG.AA.YYYY] tarihinde imzalanmıştır.</w:t>
      </w:r>
    </w:p>
    <w:p/>
    <w:p>
      <w:r>
        <w:rPr>
          <w:rFonts w:ascii="Times New Roman" w:hAnsi="Times New Roman"/>
          <w:b/>
          <w:sz w:val="22"/>
        </w:rPr>
        <w:t>EK 1 — DEMİRBAŞ VE SAYAÇ TUTANAĞI</w:t>
      </w:r>
    </w:p>
    <w:p>
      <w:r>
        <w:rPr>
          <w:rFonts w:ascii="Times New Roman" w:hAnsi="Times New Roman"/>
          <w:b w:val="0"/>
          <w:sz w:val="21"/>
        </w:rPr>
        <w:t>Teslim tarihi: [ ] — Elektrik endeksi: [ ] — Su endeksi: [ ]</w:t>
      </w:r>
    </w:p>
    <w:p>
      <w:r>
        <w:rPr>
          <w:rFonts w:ascii="Times New Roman" w:hAnsi="Times New Roman"/>
          <w:b w:val="0"/>
          <w:sz w:val="21"/>
        </w:rPr>
        <w:t>Mobilya ve beyaz eşya: [ ] — Mutfak gereçleri: [ ] adet tabak, [ ] adet bardak, [ ] tencere seti — Nevresim ve havlu: [ ] takım</w:t>
      </w:r>
    </w:p>
    <w:p>
      <w:r>
        <w:rPr>
          <w:rFonts w:ascii="Times New Roman" w:hAnsi="Times New Roman"/>
          <w:b w:val="0"/>
          <w:sz w:val="21"/>
        </w:rPr>
        <w:t>Klima [ ] adet — Su motoru/hidrofor — Barbekü — Bahçe mobilyası [ ] parça — Havuz ve site kartı [ ] adet — Anahtar [ ] adet</w:t>
      </w:r>
    </w:p>
    <w:p>
      <w:r>
        <w:rPr>
          <w:rFonts w:ascii="Times New Roman" w:hAnsi="Times New Roman"/>
          <w:b w:val="0"/>
          <w:sz w:val="21"/>
        </w:rPr>
        <w:t>Tahliye tarihi: [ ] — Elektrik endeksi: [ ] — Su endeksi: [ ] — Eksik/hasar: [ ]</w:t>
      </w:r>
    </w:p>
    <w:p/>
    <w:tbl>
      <w:tblPr>
        <w:tblW w:type="auto" w:w="0"/>
        <w:jc w:val="center"/>
        <w:tblLook w:firstColumn="1" w:firstRow="1" w:lastColumn="0" w:lastRow="0" w:noHBand="0" w:noVBand="1" w:val="04A0"/>
      </w:tblPr>
      <w:tblGrid>
        <w:gridCol w:w="4873"/>
        <w:gridCol w:w="4873"/>
      </w:tblGrid>
      <w:tr>
        <w:tc>
          <w:tcPr>
            <w:tcW w:type="dxa" w:w="4873"/>
          </w:tcPr>
          <w:p>
            <w:pPr>
              <w:jc w:val="center"/>
            </w:pPr>
            <w:r>
              <w:rPr>
                <w:rFonts w:ascii="Times New Roman" w:hAnsi="Times New Roman"/>
                <w:b/>
                <w:sz w:val="20"/>
              </w:rPr>
              <w:t>KİRAYA VEREN</w:t>
            </w:r>
          </w:p>
        </w:tc>
        <w:tc>
          <w:tcPr>
            <w:tcW w:type="dxa" w:w="4873"/>
          </w:tcPr>
          <w:p>
            <w:pPr>
              <w:jc w:val="center"/>
            </w:pPr>
            <w:r>
              <w:rPr>
                <w:rFonts w:ascii="Times New Roman" w:hAnsi="Times New Roman"/>
                <w:b/>
                <w:sz w:val="20"/>
              </w:rPr>
              <w:t>KİRACI</w:t>
            </w:r>
          </w:p>
        </w:tc>
      </w:tr>
      <w:tr>
        <w:tc>
          <w:tcPr>
            <w:tcW w:type="dxa" w:w="4873"/>
          </w:tcPr>
          <w:p>
            <w:pPr>
              <w:jc w:val="center"/>
            </w:pPr>
            <w:r>
              <w:rPr>
                <w:rFonts w:ascii="Times New Roman" w:hAnsi="Times New Roman"/>
                <w:b w:val="0"/>
                <w:sz w:val="20"/>
              </w:rPr>
              <w:br/>
              <w:br/>
              <w:t>Ad Soyad:</w:t>
              <w:br/>
              <w:br/>
              <w:t>İmza:</w:t>
            </w:r>
          </w:p>
        </w:tc>
        <w:tc>
          <w:tcPr>
            <w:tcW w:type="dxa" w:w="4873"/>
          </w:tcPr>
          <w:p>
            <w:pPr>
              <w:jc w:val="center"/>
            </w:pPr>
            <w:r>
              <w:rPr>
                <w:rFonts w:ascii="Times New Roman" w:hAnsi="Times New Roman"/>
                <w:b w:val="0"/>
                <w:sz w:val="20"/>
              </w:rPr>
              <w:br/>
              <w:br/>
              <w:t>Ad Soyad:</w:t>
              <w:br/>
              <w:br/>
              <w:t>İmza:</w:t>
            </w:r>
          </w:p>
        </w:tc>
      </w:tr>
    </w:tbl>
    <w:p/>
    <w:p>
      <w:r>
        <w:rPr>
          <w:rFonts w:ascii="Times New Roman" w:hAnsi="Times New Roman"/>
          <w:b w:val="0"/>
          <w:sz w:val="16"/>
        </w:rPr>
        <w:t>Bu belge www.ferhatsatan.com adresinde yayımlanan “Gayrimenkul Kira Sözleşmesi Örnekleri” yazısının ekidir. Örnek niteliğindedir; köşeli parantez içindeki alanlar somut duruma göre doldurulmalı, gerekmeyen seçenekler silinmelidir. Hukuki tavsiye yerine geçmez.</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