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ÇATILI İŞYERİ KİRA SÖZLEŞMESİ (DÜKKÂN VE OFİS)</w:t>
      </w:r>
    </w:p>
    <w:p>
      <w:pPr>
        <w:jc w:val="center"/>
      </w:pPr>
      <w:r>
        <w:rPr>
          <w:rFonts w:ascii="Times New Roman" w:hAnsi="Times New Roman"/>
          <w:b w:val="0"/>
          <w:sz w:val="20"/>
        </w:rPr>
        <w:t>Sözleşme No: [ ]    Düzenleme yeri ve tarihi: [İL], [GG.AA.YYYY]</w:t>
      </w:r>
    </w:p>
    <w:tbl>
      <w:tblPr>
        <w:tblStyle w:val="TableGrid"/>
        <w:tblW w:type="auto" w:w="0"/>
        <w:jc w:val="center"/>
        <w:tblLayout w:type="fixed"/>
        <w:tblLook w:firstColumn="1" w:firstRow="1" w:lastColumn="0" w:lastRow="0" w:noHBand="0" w:noVBand="1" w:val="04A0"/>
      </w:tblPr>
      <w:tblGrid>
        <w:gridCol w:w="4873"/>
        <w:gridCol w:w="4873"/>
      </w:tblGrid>
      <w:tr>
        <w:tc>
          <w:tcPr>
            <w:tcW w:type="dxa" w:w="2948"/>
          </w:tcPr>
          <w:p>
            <w:r>
              <w:rPr>
                <w:rFonts w:ascii="Times New Roman" w:hAnsi="Times New Roman"/>
                <w:b/>
                <w:sz w:val="20"/>
              </w:rPr>
              <w:t>Kiralananın adresi</w:t>
            </w:r>
          </w:p>
        </w:tc>
        <w:tc>
          <w:tcPr>
            <w:tcW w:type="dxa" w:w="6463"/>
          </w:tcPr>
          <w:p>
            <w:r>
              <w:rPr>
                <w:rFonts w:ascii="Times New Roman" w:hAnsi="Times New Roman"/>
                <w:b w:val="0"/>
                <w:sz w:val="20"/>
              </w:rPr>
              <w:t>[MAHALLE], [CADDE/SOKAK], No: [ ], [Zemin kat dükkân / [ ]. kat ofis], [İLÇE]/[İL]</w:t>
            </w:r>
          </w:p>
        </w:tc>
      </w:tr>
      <w:tr>
        <w:tc>
          <w:tcPr>
            <w:tcW w:type="dxa" w:w="2948"/>
          </w:tcPr>
          <w:p>
            <w:r>
              <w:rPr>
                <w:rFonts w:ascii="Times New Roman" w:hAnsi="Times New Roman"/>
                <w:b/>
                <w:sz w:val="20"/>
              </w:rPr>
              <w:t>Tapu bilgileri ve nitelik</w:t>
            </w:r>
          </w:p>
        </w:tc>
        <w:tc>
          <w:tcPr>
            <w:tcW w:type="dxa" w:w="6463"/>
          </w:tcPr>
          <w:p>
            <w:r>
              <w:rPr>
                <w:rFonts w:ascii="Times New Roman" w:hAnsi="Times New Roman"/>
                <w:b w:val="0"/>
                <w:sz w:val="20"/>
              </w:rPr>
              <w:t>Ada [ ] Parsel [ ] Bağımsız bölüm [ ] — tapuda niteliği: [dükkân / ofis / işyeri], brüt [ ] m²</w:t>
            </w:r>
          </w:p>
        </w:tc>
      </w:tr>
      <w:tr>
        <w:tc>
          <w:tcPr>
            <w:tcW w:type="dxa" w:w="2948"/>
          </w:tcPr>
          <w:p>
            <w:r>
              <w:rPr>
                <w:rFonts w:ascii="Times New Roman" w:hAnsi="Times New Roman"/>
                <w:b/>
                <w:sz w:val="20"/>
              </w:rPr>
              <w:t>Kiraya veren</w:t>
            </w:r>
          </w:p>
        </w:tc>
        <w:tc>
          <w:tcPr>
            <w:tcW w:type="dxa" w:w="6463"/>
          </w:tcPr>
          <w:p>
            <w:r>
              <w:rPr>
                <w:rFonts w:ascii="Times New Roman" w:hAnsi="Times New Roman"/>
                <w:b w:val="0"/>
                <w:sz w:val="20"/>
              </w:rPr>
              <w:t>[AD SOYAD / ŞİRKET UNVANI] — T.C. / Vergi No: [ ] — Adres: [ ]</w:t>
            </w:r>
          </w:p>
        </w:tc>
      </w:tr>
      <w:tr>
        <w:tc>
          <w:tcPr>
            <w:tcW w:type="dxa" w:w="2948"/>
          </w:tcPr>
          <w:p>
            <w:r>
              <w:rPr>
                <w:rFonts w:ascii="Times New Roman" w:hAnsi="Times New Roman"/>
                <w:b/>
                <w:sz w:val="20"/>
              </w:rPr>
              <w:t>Kiracı</w:t>
            </w:r>
          </w:p>
        </w:tc>
        <w:tc>
          <w:tcPr>
            <w:tcW w:type="dxa" w:w="6463"/>
          </w:tcPr>
          <w:p>
            <w:r>
              <w:rPr>
                <w:rFonts w:ascii="Times New Roman" w:hAnsi="Times New Roman"/>
                <w:b w:val="0"/>
                <w:sz w:val="20"/>
              </w:rPr>
              <w:t>[ŞİRKET UNVANI] — Vergi Dairesi/No: [ ] — MERSİS No: [ ] — Adres: [ ] — Temsilci: [AD SOYAD, sıfatı]</w:t>
            </w:r>
          </w:p>
        </w:tc>
      </w:tr>
      <w:tr>
        <w:tc>
          <w:tcPr>
            <w:tcW w:type="dxa" w:w="2948"/>
          </w:tcPr>
          <w:p>
            <w:r>
              <w:rPr>
                <w:rFonts w:ascii="Times New Roman" w:hAnsi="Times New Roman"/>
                <w:b/>
                <w:sz w:val="20"/>
              </w:rPr>
              <w:t>Başlangıç tarihi ve süre</w:t>
            </w:r>
          </w:p>
        </w:tc>
        <w:tc>
          <w:tcPr>
            <w:tcW w:type="dxa" w:w="6463"/>
          </w:tcPr>
          <w:p>
            <w:r>
              <w:rPr>
                <w:rFonts w:ascii="Times New Roman" w:hAnsi="Times New Roman"/>
                <w:b w:val="0"/>
                <w:sz w:val="20"/>
              </w:rPr>
              <w:t>[GG.AA.YYYY] — [üç (3)] yıl</w:t>
            </w:r>
          </w:p>
        </w:tc>
      </w:tr>
      <w:tr>
        <w:tc>
          <w:tcPr>
            <w:tcW w:type="dxa" w:w="2948"/>
          </w:tcPr>
          <w:p>
            <w:r>
              <w:rPr>
                <w:rFonts w:ascii="Times New Roman" w:hAnsi="Times New Roman"/>
                <w:b/>
                <w:sz w:val="20"/>
              </w:rPr>
              <w:t>Aylık kira bedeli</w:t>
            </w:r>
          </w:p>
        </w:tc>
        <w:tc>
          <w:tcPr>
            <w:tcW w:type="dxa" w:w="6463"/>
          </w:tcPr>
          <w:p>
            <w:r>
              <w:rPr>
                <w:rFonts w:ascii="Times New Roman" w:hAnsi="Times New Roman"/>
                <w:b w:val="0"/>
                <w:sz w:val="20"/>
              </w:rPr>
              <w:t>Net [ ] TL / Brüt [ ] TL (KDV ve stopaj durumu Madde 4’te)</w:t>
            </w:r>
          </w:p>
        </w:tc>
      </w:tr>
      <w:tr>
        <w:tc>
          <w:tcPr>
            <w:tcW w:type="dxa" w:w="2948"/>
          </w:tcPr>
          <w:p>
            <w:r>
              <w:rPr>
                <w:rFonts w:ascii="Times New Roman" w:hAnsi="Times New Roman"/>
                <w:b/>
                <w:sz w:val="20"/>
              </w:rPr>
              <w:t>Ödeme şekli</w:t>
            </w:r>
          </w:p>
        </w:tc>
        <w:tc>
          <w:tcPr>
            <w:tcW w:type="dxa" w:w="6463"/>
          </w:tcPr>
          <w:p>
            <w:r>
              <w:rPr>
                <w:rFonts w:ascii="Times New Roman" w:hAnsi="Times New Roman"/>
                <w:b w:val="0"/>
                <w:sz w:val="20"/>
              </w:rPr>
              <w:t>Her ayın en geç [5]. günü, [IBAN] hesabına</w:t>
            </w:r>
          </w:p>
        </w:tc>
      </w:tr>
      <w:tr>
        <w:tc>
          <w:tcPr>
            <w:tcW w:type="dxa" w:w="2948"/>
          </w:tcPr>
          <w:p>
            <w:r>
              <w:rPr>
                <w:rFonts w:ascii="Times New Roman" w:hAnsi="Times New Roman"/>
                <w:b/>
                <w:sz w:val="20"/>
              </w:rPr>
              <w:t>Güvence bedeli</w:t>
            </w:r>
          </w:p>
        </w:tc>
        <w:tc>
          <w:tcPr>
            <w:tcW w:type="dxa" w:w="6463"/>
          </w:tcPr>
          <w:p>
            <w:r>
              <w:rPr>
                <w:rFonts w:ascii="Times New Roman" w:hAnsi="Times New Roman"/>
                <w:b w:val="0"/>
                <w:sz w:val="20"/>
              </w:rPr>
              <w:t>[ ] TL — [üç] aylık kira karşılığı</w:t>
            </w:r>
          </w:p>
        </w:tc>
      </w:tr>
      <w:tr>
        <w:tc>
          <w:tcPr>
            <w:tcW w:type="dxa" w:w="2948"/>
          </w:tcPr>
          <w:p>
            <w:r>
              <w:rPr>
                <w:rFonts w:ascii="Times New Roman" w:hAnsi="Times New Roman"/>
                <w:b/>
                <w:sz w:val="20"/>
              </w:rPr>
              <w:t>Kullanım amacı</w:t>
            </w:r>
          </w:p>
        </w:tc>
        <w:tc>
          <w:tcPr>
            <w:tcW w:type="dxa" w:w="6463"/>
          </w:tcPr>
          <w:p>
            <w:r>
              <w:rPr>
                <w:rFonts w:ascii="Times New Roman" w:hAnsi="Times New Roman"/>
                <w:b w:val="0"/>
                <w:sz w:val="20"/>
              </w:rPr>
              <w:t>[Perakende giyim mağazası / mimarlık ofisi / ...] — bu amaç dışında kullanılamaz</w:t>
            </w:r>
          </w:p>
        </w:tc>
      </w:tr>
      <w:tr>
        <w:tc>
          <w:tcPr>
            <w:tcW w:type="dxa" w:w="2948"/>
          </w:tcPr>
          <w:p>
            <w:r>
              <w:rPr>
                <w:rFonts w:ascii="Times New Roman" w:hAnsi="Times New Roman"/>
                <w:b/>
                <w:sz w:val="20"/>
              </w:rPr>
              <w:t>Teslim durumu</w:t>
            </w:r>
          </w:p>
        </w:tc>
        <w:tc>
          <w:tcPr>
            <w:tcW w:type="dxa" w:w="6463"/>
          </w:tcPr>
          <w:p>
            <w:r>
              <w:rPr>
                <w:rFonts w:ascii="Times New Roman" w:hAnsi="Times New Roman"/>
                <w:b w:val="0"/>
                <w:sz w:val="20"/>
              </w:rPr>
              <w:t>[Boş dükkân, sıvalı-boyalı, elektrik ve su tesisatı çalışır; tezgâh ve raf yok]</w:t>
            </w:r>
          </w:p>
        </w:tc>
      </w:tr>
    </w:tbl>
    <w:p/>
    <w:p>
      <w:r>
        <w:rPr>
          <w:rFonts w:ascii="Times New Roman" w:hAnsi="Times New Roman"/>
          <w:b/>
          <w:sz w:val="24"/>
        </w:rPr>
        <w:t>SÖZLEŞME HÜKÜMLERİ</w:t>
      </w:r>
    </w:p>
    <w:p>
      <w:r>
        <w:rPr>
          <w:rFonts w:ascii="Times New Roman" w:hAnsi="Times New Roman"/>
          <w:b/>
          <w:sz w:val="22"/>
        </w:rPr>
        <w:t>Madde 1 — Konu ve kullanım amacı</w:t>
      </w:r>
    </w:p>
    <w:p>
      <w:pPr>
        <w:jc w:val="both"/>
      </w:pPr>
      <w:r>
        <w:rPr>
          <w:rFonts w:ascii="Times New Roman" w:hAnsi="Times New Roman"/>
          <w:b w:val="0"/>
          <w:sz w:val="22"/>
        </w:rPr>
        <w:t>Kiraya veren, yukarıda yazılı çatılı işyerini yalnızca [faaliyet alanı] amacıyla kullanılmak üzere kiracıya kiralamıştır. Kiracı, kiraya verenin yazılı izni olmadan faaliyet konusunu değiştiremez; gürültü, koku, duman veya yoğun yük trafiği yaratan, binanın niteliğiyle bağdaşmayan bir faaliyet yürütemez.</w:t>
      </w:r>
    </w:p>
    <w:p>
      <w:r>
        <w:rPr>
          <w:rFonts w:ascii="Times New Roman" w:hAnsi="Times New Roman"/>
          <w:b/>
          <w:sz w:val="22"/>
        </w:rPr>
        <w:t>Madde 2 — Süre ve uzama</w:t>
      </w:r>
    </w:p>
    <w:p>
      <w:pPr>
        <w:jc w:val="both"/>
      </w:pPr>
      <w:r>
        <w:rPr>
          <w:rFonts w:ascii="Times New Roman" w:hAnsi="Times New Roman"/>
          <w:b w:val="0"/>
          <w:sz w:val="22"/>
        </w:rPr>
        <w:t>Sözleşme [üç] yıl sürelidir. Kiracı, sürenin bitiminden en az on beş gün önce yazılı bildirimde bulunmadıkça sözleşme aynı koşullarla birer yıl uzar. Kiraya veren sürenin dolmasına dayanarak sözleşmeyi sona erdiremez; on yıllık uzama süresinin dolmasından sonra kanunda öngörülen üç aylık bildirimle sona erdirme hakkı saklıdır.</w:t>
      </w:r>
    </w:p>
    <w:p>
      <w:r>
        <w:rPr>
          <w:rFonts w:ascii="Times New Roman" w:hAnsi="Times New Roman"/>
          <w:b/>
          <w:sz w:val="22"/>
        </w:rPr>
        <w:t>Madde 3 — Kira bedeli ve artış</w:t>
      </w:r>
    </w:p>
    <w:p>
      <w:pPr>
        <w:jc w:val="both"/>
      </w:pPr>
      <w:r>
        <w:rPr>
          <w:rFonts w:ascii="Times New Roman" w:hAnsi="Times New Roman"/>
          <w:b w:val="0"/>
          <w:sz w:val="22"/>
        </w:rPr>
        <w:t>Kira bedeli her ayın en geç [5]. günü banka hesabına ödenir; işyeri kira ödemelerinin tutarına bakılmaksızın banka veya PTT aracılığıyla yapılması vergi mevzuatı gereği zorunludur. Yenilenen dönemlerde artış, bir önceki kira yılının tüketici fiyat endeksindeki on iki aylık ortalamalara göre değişim oranını geçemez. Beş yılın sonunda bedelin yeniden belirlenmesine ilişkin kanuni hükümler saklıdır.</w:t>
      </w:r>
    </w:p>
    <w:p>
      <w:r>
        <w:rPr>
          <w:rFonts w:ascii="Times New Roman" w:hAnsi="Times New Roman"/>
          <w:b/>
          <w:sz w:val="22"/>
        </w:rPr>
        <w:t>Madde 4 — Stopaj ve KDV</w:t>
      </w:r>
    </w:p>
    <w:p>
      <w:pPr>
        <w:jc w:val="both"/>
      </w:pPr>
      <w:r>
        <w:rPr>
          <w:rFonts w:ascii="Times New Roman" w:hAnsi="Times New Roman"/>
          <w:b w:val="0"/>
          <w:sz w:val="22"/>
        </w:rPr>
        <w:t>Kiraya veren gerçek kişi ise kiracı, brüt kira bedeli üzerinden gelir vergisi tevkifatını yapar ve vergi dairesine yatırır; kiraya verene net tutar ödenir. Tevkifat oranındaki yasal değişiklikler brüt bedele yansır. Kiraya veren, kiralananı ticari işletmesine dâhil etmiş bir mükellef ya da şirket ise kira bedeline katma değer vergisi eklenir ve fatura düzenlenir. Bu maddede [uygulanacak seçenek] geçerlidir.</w:t>
      </w:r>
    </w:p>
    <w:p>
      <w:r>
        <w:rPr>
          <w:rFonts w:ascii="Times New Roman" w:hAnsi="Times New Roman"/>
          <w:b/>
          <w:sz w:val="22"/>
        </w:rPr>
        <w:t>Madde 5 — Güvence bedeli</w:t>
      </w:r>
    </w:p>
    <w:p>
      <w:pPr>
        <w:jc w:val="both"/>
      </w:pPr>
      <w:r>
        <w:rPr>
          <w:rFonts w:ascii="Times New Roman" w:hAnsi="Times New Roman"/>
          <w:b w:val="0"/>
          <w:sz w:val="22"/>
        </w:rPr>
        <w:t>Kiracı, [üç] aylık kira bedeli tutarındaki güvenceyi vadeli tasarruf hesabına yatırır veya aynı tutarda kesin ve süresiz banka teminat mektubu verir. Güvence; kira, yan gider ve hasar alacaklarının teminatıdır, kira yerine kullanılamaz. Kira bedelindeki artışlar oranında kiracı, kiraya verenin yazılı talebi üzerine güvenceyi tamamlar.</w:t>
      </w:r>
    </w:p>
    <w:p>
      <w:r>
        <w:rPr>
          <w:rFonts w:ascii="Times New Roman" w:hAnsi="Times New Roman"/>
          <w:b/>
          <w:sz w:val="22"/>
        </w:rPr>
        <w:t>Madde 6 — Ruhsat, izin ve faaliyete ilişkin sorumluluk</w:t>
      </w:r>
    </w:p>
    <w:p>
      <w:pPr>
        <w:jc w:val="both"/>
      </w:pPr>
      <w:r>
        <w:rPr>
          <w:rFonts w:ascii="Times New Roman" w:hAnsi="Times New Roman"/>
          <w:b w:val="0"/>
          <w:sz w:val="22"/>
        </w:rPr>
        <w:t>İşyeri açma ve çalışma ruhsatı, vergi levhası, meslek odası kaydı, işletme ile ilgili tüm izin ve belgeler kiracı tarafından kendi adına alınır ve giderleri kiracıya aittir. Kiraya veren, ruhsat işlemleri için tapu örneği, muvafakat ve benzeri belgeleri kiracıya makul sürede verir. Kiralananın tapudaki niteliği ile yönetim planının bu faaliyete elverişli olduğu kiraya veren tarafından beyan edilmiştir; ruhsatın kiracıdan kaynaklanmayan bir sebeple alınamaması hâlinde kiracı sözleşmeden dönebilir ve güvence bedelini geri alır.</w:t>
      </w:r>
    </w:p>
    <w:p>
      <w:r>
        <w:rPr>
          <w:rFonts w:ascii="Times New Roman" w:hAnsi="Times New Roman"/>
          <w:b/>
          <w:sz w:val="22"/>
        </w:rPr>
        <w:t>Madde 7 — Tadilat, dekorasyon ve eski hale getirme</w:t>
      </w:r>
    </w:p>
    <w:p>
      <w:pPr>
        <w:jc w:val="both"/>
      </w:pPr>
      <w:r>
        <w:rPr>
          <w:rFonts w:ascii="Times New Roman" w:hAnsi="Times New Roman"/>
          <w:b w:val="0"/>
          <w:sz w:val="22"/>
        </w:rPr>
        <w:t>Kiracı, faaliyeti için gerekli iç dekorasyon ve tadilatı kiraya verenin yazılı onayı ile ve onaylı projeye uygun olarak yapar. Taşıyıcı sisteme, ortak tesisata ve dış cepheye müdahale edilemez. Tahliyede kiracı, dilerse söküp götürebileceği eşyayı alır; kiraya verenin yazılı onayıyla yapılan sabit tadilat için kiracı, aksine yazılı anlaşma olmadıkça değer artışı tazminatı isteyemez ve kiraya veren de eski hale getirilmesini talep edemez. Onaysız yapılan tadilatın eski hale getirme gideri kiracıya aittir.</w:t>
      </w:r>
    </w:p>
    <w:p>
      <w:r>
        <w:rPr>
          <w:rFonts w:ascii="Times New Roman" w:hAnsi="Times New Roman"/>
          <w:b/>
          <w:sz w:val="22"/>
        </w:rPr>
        <w:t>Madde 8 — Tabela ve reklam</w:t>
      </w:r>
    </w:p>
    <w:p>
      <w:pPr>
        <w:jc w:val="both"/>
      </w:pPr>
      <w:r>
        <w:rPr>
          <w:rFonts w:ascii="Times New Roman" w:hAnsi="Times New Roman"/>
          <w:b w:val="0"/>
          <w:sz w:val="22"/>
        </w:rPr>
        <w:t>Kiracı, kiralananın cephesine ve yönetim planının izin verdiği ortak alanlara faaliyetini gösteren tabela asabilir; belediye ilan ve reklam vergisi ile tabela izin giderleri kiracıya aittir. Tabela, binanın statik yapısına zarar vermeyecek biçimde monte edilir ve tahliyede sökülerek cephe eski hâline getirilir.</w:t>
      </w:r>
    </w:p>
    <w:p>
      <w:r>
        <w:rPr>
          <w:rFonts w:ascii="Times New Roman" w:hAnsi="Times New Roman"/>
          <w:b/>
          <w:sz w:val="22"/>
        </w:rPr>
        <w:t>Madde 9 — Giderler, aidat ve vergiler</w:t>
      </w:r>
    </w:p>
    <w:p>
      <w:pPr>
        <w:jc w:val="both"/>
      </w:pPr>
      <w:r>
        <w:rPr>
          <w:rFonts w:ascii="Times New Roman" w:hAnsi="Times New Roman"/>
          <w:b w:val="0"/>
          <w:sz w:val="22"/>
        </w:rPr>
        <w:t>Elektrik, su, doğalgaz, internet, çöp toplama, işyeri aidatı ve ortak alan giderleri kiracıya; emlak vergisi, bina sigortası, zorunlu deprem sigortası ve binaya yönelik yatırım niteliğindeki giderler kiraya verene aittir. Kiracı, işletmesiyle ilgili çevre temizlik vergisi ve benzeri yükümlülükleri kendisi yerine getirir.</w:t>
      </w:r>
    </w:p>
    <w:p>
      <w:r>
        <w:rPr>
          <w:rFonts w:ascii="Times New Roman" w:hAnsi="Times New Roman"/>
          <w:b/>
          <w:sz w:val="22"/>
        </w:rPr>
        <w:t>Madde 10 — Sigorta</w:t>
      </w:r>
    </w:p>
    <w:p>
      <w:pPr>
        <w:jc w:val="both"/>
      </w:pPr>
      <w:r>
        <w:rPr>
          <w:rFonts w:ascii="Times New Roman" w:hAnsi="Times New Roman"/>
          <w:b w:val="0"/>
          <w:sz w:val="22"/>
        </w:rPr>
        <w:t>Kiracı, kiralanandaki eşya ve stoklarını yangın, su baskını ve hırsızlığa karşı; üçüncü kişilere verebileceği zararları ise işyeri üçüncü şahıs mali mesuliyet sigortasıyla sigortalatır ve poliçe örneğini kiraya verene verir. Kiracının faaliyetinden kaynaklanan bir olay yüzünden bina sigortasının primi artarsa artan kısım kiracıya aittir.</w:t>
      </w:r>
    </w:p>
    <w:p>
      <w:r>
        <w:rPr>
          <w:rFonts w:ascii="Times New Roman" w:hAnsi="Times New Roman"/>
          <w:b/>
          <w:sz w:val="22"/>
        </w:rPr>
        <w:t>Madde 11 — Bakım ve onarım</w:t>
      </w:r>
    </w:p>
    <w:p>
      <w:pPr>
        <w:jc w:val="both"/>
      </w:pPr>
      <w:r>
        <w:rPr>
          <w:rFonts w:ascii="Times New Roman" w:hAnsi="Times New Roman"/>
          <w:b w:val="0"/>
          <w:sz w:val="22"/>
        </w:rPr>
        <w:t>Olağan kullanımdan doğan küçük bakım ve onarımlar, kepenk ve vitrin camı, kapı kilidi, iç aydınlatma, klima bakımı kiracıya; çatı, dış cephe, ana tesisat ve yapıya ilişkin esaslı onarımlar kiraya verene aittir. Kiracı, esaslı onarım gerektiren ayıbı derhâl yazılı bildirir.</w:t>
      </w:r>
    </w:p>
    <w:p>
      <w:r>
        <w:rPr>
          <w:rFonts w:ascii="Times New Roman" w:hAnsi="Times New Roman"/>
          <w:b/>
          <w:sz w:val="22"/>
        </w:rPr>
        <w:t>Madde 12 — Kira ilişkisinin devri ve alt kira</w:t>
      </w:r>
    </w:p>
    <w:p>
      <w:pPr>
        <w:jc w:val="both"/>
      </w:pPr>
      <w:r>
        <w:rPr>
          <w:rFonts w:ascii="Times New Roman" w:hAnsi="Times New Roman"/>
          <w:b w:val="0"/>
          <w:sz w:val="22"/>
        </w:rPr>
        <w:t>Kiracı, kiraya verenin yazılı rızası olmadan kiralananı alt kiraya veremez ve kira ilişkisini devredemez. Kiraya veren, kira ilişkisinin devri için rızayı haklı sebep olmadıkça vermekten kaçınamaz. Devir hâlinde devralan, kiracının yerine geçer; devreden kiracı, kira süresinin bitimine kadar ve en fazla iki yıl süreyle devralanla birlikte müteselsilen sorumludur.</w:t>
      </w:r>
    </w:p>
    <w:p>
      <w:pPr>
        <w:jc w:val="both"/>
      </w:pPr>
      <w:r>
        <w:rPr>
          <w:rFonts w:ascii="Times New Roman" w:hAnsi="Times New Roman"/>
          <w:b w:val="0"/>
          <w:sz w:val="22"/>
        </w:rPr>
        <w:t>Kiracı şirketin ortaklık yapısında kontrolün el değiştirmesi, kiraya verene on beş gün içinde bildirilir; bu değişiklik tek başına fesih sebebi değildir.</w:t>
      </w:r>
    </w:p>
    <w:p>
      <w:r>
        <w:rPr>
          <w:rFonts w:ascii="Times New Roman" w:hAnsi="Times New Roman"/>
          <w:b/>
          <w:sz w:val="22"/>
        </w:rPr>
        <w:t>Madde 13 — Çalışma saatleri ve ortak alanlar</w:t>
      </w:r>
    </w:p>
    <w:p>
      <w:pPr>
        <w:jc w:val="both"/>
      </w:pPr>
      <w:r>
        <w:rPr>
          <w:rFonts w:ascii="Times New Roman" w:hAnsi="Times New Roman"/>
          <w:b w:val="0"/>
          <w:sz w:val="22"/>
        </w:rPr>
        <w:t>Kiracı, binanın ya da alışveriş merkezinin yönetim planındaki çalışma saatlerine, yükleme-boşaltma kurallarına ve ortak alan kullanım kurallarına uyar. Ortak alanlarda ürün sergileme yalnızca yönetim izni ile mümkündür.</w:t>
      </w:r>
    </w:p>
    <w:p>
      <w:r>
        <w:rPr>
          <w:rFonts w:ascii="Times New Roman" w:hAnsi="Times New Roman"/>
          <w:b/>
          <w:sz w:val="22"/>
        </w:rPr>
        <w:t>Madde 14 — Temerrüt</w:t>
      </w:r>
    </w:p>
    <w:p>
      <w:pPr>
        <w:jc w:val="both"/>
      </w:pPr>
      <w:r>
        <w:rPr>
          <w:rFonts w:ascii="Times New Roman" w:hAnsi="Times New Roman"/>
          <w:b w:val="0"/>
          <w:sz w:val="22"/>
        </w:rPr>
        <w:t>Kiracı, muaccel kira bedelini veya yan gideri ödemezse kiraya veren yazılı bildirimle en az otuz günlük süre verir ve bu sürede ödeme yapılmazsa sözleşmeyi feshedebilir. Kira bedelinin ödenmemesi hâlinde ceza koşulu veya sonraki kiraların muaccel olacağına ilişkin kayıt bu sözleşmede yoktur.</w:t>
      </w:r>
    </w:p>
    <w:p>
      <w:r>
        <w:rPr>
          <w:rFonts w:ascii="Times New Roman" w:hAnsi="Times New Roman"/>
          <w:b/>
          <w:sz w:val="22"/>
        </w:rPr>
        <w:t>Madde 15 — Fesih, erken tahliye ve önemli sebep</w:t>
      </w:r>
    </w:p>
    <w:p>
      <w:pPr>
        <w:jc w:val="both"/>
      </w:pPr>
      <w:r>
        <w:rPr>
          <w:rFonts w:ascii="Times New Roman" w:hAnsi="Times New Roman"/>
          <w:b w:val="0"/>
          <w:sz w:val="22"/>
        </w:rPr>
        <w:t>Fesih bildirimleri yazılı yapılır. Kiracı, süreye uymadan tahliye ederse kiralananın benzer koşullarla yeniden kiraya verilebileceği makul süre boyunca kira borcu devam eder. Kira ilişkisinin sürdürülmesini taraflardan biri için çekilmez hâle getiren önemli bir sebep ortaya çıkarsa taraf, kanuni bildirim süresine uyarak sözleşmeyi feshedebilir; parasal sonuçlar hâkim tarafından belirlenir.</w:t>
      </w:r>
    </w:p>
    <w:p>
      <w:r>
        <w:rPr>
          <w:rFonts w:ascii="Times New Roman" w:hAnsi="Times New Roman"/>
          <w:b/>
          <w:sz w:val="22"/>
        </w:rPr>
        <w:t>Madde 16 — Geri verme</w:t>
      </w:r>
    </w:p>
    <w:p>
      <w:pPr>
        <w:jc w:val="both"/>
      </w:pPr>
      <w:r>
        <w:rPr>
          <w:rFonts w:ascii="Times New Roman" w:hAnsi="Times New Roman"/>
          <w:b w:val="0"/>
          <w:sz w:val="22"/>
        </w:rPr>
        <w:t>Kiracı, sözleşme sona erdiğinde kiralananı boşaltılmış, temizlenmiş, tabelası sökülmüş ve onaysız tadilatı giderilmiş olarak geri verir. Kiraya veren, kiracının sorumlu olduğu eksiklikleri geri verme sırasında hemen yazılı olarak bildirir. Elektrik, su ve doğalgaz aboneliklerinin borçsuz kapatıldığı belgelenir.</w:t>
      </w:r>
    </w:p>
    <w:p>
      <w:r>
        <w:rPr>
          <w:rFonts w:ascii="Times New Roman" w:hAnsi="Times New Roman"/>
          <w:b/>
          <w:sz w:val="22"/>
        </w:rPr>
        <w:t>Madde 17 — Damga vergisi</w:t>
      </w:r>
    </w:p>
    <w:p>
      <w:pPr>
        <w:jc w:val="both"/>
      </w:pPr>
      <w:r>
        <w:rPr>
          <w:rFonts w:ascii="Times New Roman" w:hAnsi="Times New Roman"/>
          <w:b w:val="0"/>
          <w:sz w:val="22"/>
        </w:rPr>
        <w:t>Bu sözleşmenin damga vergisi, sözleşme süresine göre hesaplanan toplam kira bedeli üzerinden binde 1,89 oranında hesaplanır ve [kiracı / taraflarca eşit olarak] ödenir. Kefil eklenmesi hâlinde kefalet şerhi ayrıca vergiye tabidir.</w:t>
      </w:r>
    </w:p>
    <w:p>
      <w:r>
        <w:rPr>
          <w:rFonts w:ascii="Times New Roman" w:hAnsi="Times New Roman"/>
          <w:b/>
          <w:sz w:val="22"/>
        </w:rPr>
        <w:t>Madde 18 — Tebligat ve uyuşmazlık</w:t>
      </w:r>
    </w:p>
    <w:p>
      <w:pPr>
        <w:jc w:val="both"/>
      </w:pPr>
      <w:r>
        <w:rPr>
          <w:rFonts w:ascii="Times New Roman" w:hAnsi="Times New Roman"/>
          <w:b w:val="0"/>
          <w:sz w:val="22"/>
        </w:rPr>
        <w:t>Tarafların yukarıdaki adresleri tebligat adresidir; kiracı için kiralananın adresi de tebligat adresidir. Uyuşmazlıklarda dava açılmadan önce arabulucuya başvurulması dava şartıdır; ilamsız icra yoluyla tahliye bu kuralın dışındadır. Tarafların her ikisi de tacir ise [İL] mahkemeleri ve icra daireleri yetkilidir; aksi hâlde yetki kanuni kurallara göre belirlenir.</w:t>
      </w:r>
    </w:p>
    <w:p>
      <w:r>
        <w:rPr>
          <w:rFonts w:ascii="Times New Roman" w:hAnsi="Times New Roman"/>
          <w:b/>
          <w:sz w:val="22"/>
        </w:rPr>
        <w:t>Madde 19 — Nüsha</w:t>
      </w:r>
    </w:p>
    <w:p>
      <w:pPr>
        <w:jc w:val="both"/>
      </w:pPr>
      <w:r>
        <w:rPr>
          <w:rFonts w:ascii="Times New Roman" w:hAnsi="Times New Roman"/>
          <w:b w:val="0"/>
          <w:sz w:val="22"/>
        </w:rPr>
        <w:t>On dokuz maddeden oluşan bu sözleşme iki nüsha düzenlenmiş, [GG.AA.YYYY] tarihinde imzalanmıştır. Kiracı şirket adına imza atan temsilcinin yetki belgesi ve imza sirküleri sözleşmeye eklenmiştir.</w:t>
      </w:r>
    </w:p>
    <w:p/>
    <w:p>
      <w:r>
        <w:rPr>
          <w:rFonts w:ascii="Times New Roman" w:hAnsi="Times New Roman"/>
          <w:b/>
          <w:sz w:val="22"/>
        </w:rPr>
        <w:t>EK 1 — TESLİM TUTANAĞI VE ONAYLI TADİLAT LİSTESİ</w:t>
      </w:r>
    </w:p>
    <w:p>
      <w:r>
        <w:rPr>
          <w:rFonts w:ascii="Times New Roman" w:hAnsi="Times New Roman"/>
          <w:b w:val="0"/>
          <w:sz w:val="21"/>
        </w:rPr>
        <w:t>Teslim tarihi: [ ] — Kiralananın durumu: [ ] — Sayaç endeksleri: elektrik [ ] su [ ] doğalgaz [ ]</w:t>
      </w:r>
    </w:p>
    <w:p>
      <w:r>
        <w:rPr>
          <w:rFonts w:ascii="Times New Roman" w:hAnsi="Times New Roman"/>
          <w:b w:val="0"/>
          <w:sz w:val="21"/>
        </w:rPr>
        <w:t>Kiraya verenin onayladığı tadilat kalemleri: [asma tavan / vitrin / bölme duvar / ...] — Tahliyede: [yerinde kalacak / sökülecek]</w:t>
      </w:r>
    </w:p>
    <w:p>
      <w:r>
        <w:rPr>
          <w:rFonts w:ascii="Times New Roman" w:hAnsi="Times New Roman"/>
          <w:b w:val="0"/>
          <w:sz w:val="21"/>
        </w:rPr>
        <w:t>Ekli belgeler: tapu örneği, kiracı imza sirküleri, vergi levhası, ticaret sicil gazetesi örneği</w:t>
      </w:r>
    </w:p>
    <w:p/>
    <w:tbl>
      <w:tblPr>
        <w:tblW w:type="auto" w:w="0"/>
        <w:jc w:val="center"/>
        <w:tblLook w:firstColumn="1" w:firstRow="1" w:lastColumn="0" w:lastRow="0" w:noHBand="0" w:noVBand="1" w:val="04A0"/>
      </w:tblPr>
      <w:tblGrid>
        <w:gridCol w:w="4873"/>
        <w:gridCol w:w="4873"/>
      </w:tblGrid>
      <w:tr>
        <w:tc>
          <w:tcPr>
            <w:tcW w:type="dxa" w:w="4873"/>
          </w:tcPr>
          <w:p>
            <w:pPr>
              <w:jc w:val="center"/>
            </w:pPr>
            <w:r>
              <w:rPr>
                <w:rFonts w:ascii="Times New Roman" w:hAnsi="Times New Roman"/>
                <w:b/>
                <w:sz w:val="20"/>
              </w:rPr>
              <w:t>KİRAYA VEREN</w:t>
            </w:r>
          </w:p>
        </w:tc>
        <w:tc>
          <w:tcPr>
            <w:tcW w:type="dxa" w:w="4873"/>
          </w:tcPr>
          <w:p>
            <w:pPr>
              <w:jc w:val="center"/>
            </w:pPr>
            <w:r>
              <w:rPr>
                <w:rFonts w:ascii="Times New Roman" w:hAnsi="Times New Roman"/>
                <w:b/>
                <w:sz w:val="20"/>
              </w:rPr>
              <w:t>KİRACI (yetkili temsilci, kaşe ve imza)</w:t>
            </w:r>
          </w:p>
        </w:tc>
      </w:tr>
      <w:tr>
        <w:tc>
          <w:tcPr>
            <w:tcW w:type="dxa" w:w="4873"/>
          </w:tcPr>
          <w:p>
            <w:pPr>
              <w:jc w:val="center"/>
            </w:pPr>
            <w:r>
              <w:rPr>
                <w:rFonts w:ascii="Times New Roman" w:hAnsi="Times New Roman"/>
                <w:b w:val="0"/>
                <w:sz w:val="20"/>
              </w:rPr>
              <w:br/>
              <w:br/>
              <w:t>Ad Soyad:</w:t>
              <w:br/>
              <w:br/>
              <w:t>İmza:</w:t>
            </w:r>
          </w:p>
        </w:tc>
        <w:tc>
          <w:tcPr>
            <w:tcW w:type="dxa" w:w="4873"/>
          </w:tcPr>
          <w:p>
            <w:pPr>
              <w:jc w:val="center"/>
            </w:pPr>
            <w:r>
              <w:rPr>
                <w:rFonts w:ascii="Times New Roman" w:hAnsi="Times New Roman"/>
                <w:b w:val="0"/>
                <w:sz w:val="20"/>
              </w:rPr>
              <w:br/>
              <w:br/>
              <w:t>Ad Soyad:</w:t>
              <w:br/>
              <w:br/>
              <w:t>İmza:</w:t>
            </w:r>
          </w:p>
        </w:tc>
      </w:tr>
    </w:tbl>
    <w:p/>
    <w:p>
      <w:r>
        <w:rPr>
          <w:rFonts w:ascii="Times New Roman" w:hAnsi="Times New Roman"/>
          <w:b w:val="0"/>
          <w:sz w:val="16"/>
        </w:rPr>
        <w:t>Bu belge www.ferhatsatan.com adresinde yayımlanan “Gayrimenkul Kira Sözleşmesi Örnekleri” yazısının ekidir. Örnek niteliğindedir; köşeli parantez içindeki alanlar somut duruma göre doldurulmalı, gerekmeyen seçenekler silinmelidir. Hukuki tavsiye yerine geçmez.</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