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EŞYALI KONUT KİRA SÖZLEŞMESİ (DEMİRBAŞ LİSTELİ)</w:t>
      </w:r>
    </w:p>
    <w:p>
      <w:pPr>
        <w:jc w:val="center"/>
      </w:pPr>
      <w:r>
        <w:rPr>
          <w:rFonts w:ascii="Times New Roman" w:hAnsi="Times New Roman"/>
          <w:b w:val="0"/>
          <w:sz w:val="20"/>
        </w:rPr>
        <w:t>Sözleşme No: [ ]    Düzenleme yeri ve tarihi: [İL], [GG.AA.YYYY]</w:t>
      </w:r>
    </w:p>
    <w:tbl>
      <w:tblPr>
        <w:tblStyle w:val="TableGrid"/>
        <w:tblW w:type="auto" w:w="0"/>
        <w:jc w:val="center"/>
        <w:tblLayout w:type="fixed"/>
        <w:tblLook w:firstColumn="1" w:firstRow="1" w:lastColumn="0" w:lastRow="0" w:noHBand="0" w:noVBand="1" w:val="04A0"/>
      </w:tblPr>
      <w:tblGrid>
        <w:gridCol w:w="4873"/>
        <w:gridCol w:w="4873"/>
      </w:tblGrid>
      <w:tr>
        <w:tc>
          <w:tcPr>
            <w:tcW w:type="dxa" w:w="2948"/>
          </w:tcPr>
          <w:p>
            <w:r>
              <w:rPr>
                <w:rFonts w:ascii="Times New Roman" w:hAnsi="Times New Roman"/>
                <w:b/>
                <w:sz w:val="20"/>
              </w:rPr>
              <w:t>Kiralananın adresi</w:t>
            </w:r>
          </w:p>
        </w:tc>
        <w:tc>
          <w:tcPr>
            <w:tcW w:type="dxa" w:w="6463"/>
          </w:tcPr>
          <w:p>
            <w:r>
              <w:rPr>
                <w:rFonts w:ascii="Times New Roman" w:hAnsi="Times New Roman"/>
                <w:b w:val="0"/>
                <w:sz w:val="20"/>
              </w:rPr>
              <w:t>[MAHALLE], [CADDE/SOKAK], No: [ ], Daire: [ ], [İLÇE]/[İL]</w:t>
            </w:r>
          </w:p>
        </w:tc>
      </w:tr>
      <w:tr>
        <w:tc>
          <w:tcPr>
            <w:tcW w:type="dxa" w:w="2948"/>
          </w:tcPr>
          <w:p>
            <w:r>
              <w:rPr>
                <w:rFonts w:ascii="Times New Roman" w:hAnsi="Times New Roman"/>
                <w:b/>
                <w:sz w:val="20"/>
              </w:rPr>
              <w:t>Kiralananın cinsi</w:t>
            </w:r>
          </w:p>
        </w:tc>
        <w:tc>
          <w:tcPr>
            <w:tcW w:type="dxa" w:w="6463"/>
          </w:tcPr>
          <w:p>
            <w:r>
              <w:rPr>
                <w:rFonts w:ascii="Times New Roman" w:hAnsi="Times New Roman"/>
                <w:b w:val="0"/>
                <w:sz w:val="20"/>
              </w:rPr>
              <w:t>Eşyalı apartman dairesi ([ ]+[ ], [ ] m²)</w:t>
            </w:r>
          </w:p>
        </w:tc>
      </w:tr>
      <w:tr>
        <w:tc>
          <w:tcPr>
            <w:tcW w:type="dxa" w:w="2948"/>
          </w:tcPr>
          <w:p>
            <w:r>
              <w:rPr>
                <w:rFonts w:ascii="Times New Roman" w:hAnsi="Times New Roman"/>
                <w:b/>
                <w:sz w:val="20"/>
              </w:rPr>
              <w:t>Kiraya veren</w:t>
            </w:r>
          </w:p>
        </w:tc>
        <w:tc>
          <w:tcPr>
            <w:tcW w:type="dxa" w:w="6463"/>
          </w:tcPr>
          <w:p>
            <w:r>
              <w:rPr>
                <w:rFonts w:ascii="Times New Roman" w:hAnsi="Times New Roman"/>
                <w:b w:val="0"/>
                <w:sz w:val="20"/>
              </w:rPr>
              <w:t>[AD SOYAD] — T.C. Kimlik No: [ ] — Adres: [ ] — Telefon: [ ]</w:t>
            </w:r>
          </w:p>
        </w:tc>
      </w:tr>
      <w:tr>
        <w:tc>
          <w:tcPr>
            <w:tcW w:type="dxa" w:w="2948"/>
          </w:tcPr>
          <w:p>
            <w:r>
              <w:rPr>
                <w:rFonts w:ascii="Times New Roman" w:hAnsi="Times New Roman"/>
                <w:b/>
                <w:sz w:val="20"/>
              </w:rPr>
              <w:t>Kiracı</w:t>
            </w:r>
          </w:p>
        </w:tc>
        <w:tc>
          <w:tcPr>
            <w:tcW w:type="dxa" w:w="6463"/>
          </w:tcPr>
          <w:p>
            <w:r>
              <w:rPr>
                <w:rFonts w:ascii="Times New Roman" w:hAnsi="Times New Roman"/>
                <w:b w:val="0"/>
                <w:sz w:val="20"/>
              </w:rPr>
              <w:t>[AD SOYAD] — T.C. Kimlik No: [ ] — Adres: [ ] — Telefon: [ ]</w:t>
            </w:r>
          </w:p>
        </w:tc>
      </w:tr>
      <w:tr>
        <w:tc>
          <w:tcPr>
            <w:tcW w:type="dxa" w:w="2948"/>
          </w:tcPr>
          <w:p>
            <w:r>
              <w:rPr>
                <w:rFonts w:ascii="Times New Roman" w:hAnsi="Times New Roman"/>
                <w:b/>
                <w:sz w:val="20"/>
              </w:rPr>
              <w:t>Başlangıç tarihi ve süre</w:t>
            </w:r>
          </w:p>
        </w:tc>
        <w:tc>
          <w:tcPr>
            <w:tcW w:type="dxa" w:w="6463"/>
          </w:tcPr>
          <w:p>
            <w:r>
              <w:rPr>
                <w:rFonts w:ascii="Times New Roman" w:hAnsi="Times New Roman"/>
                <w:b w:val="0"/>
                <w:sz w:val="20"/>
              </w:rPr>
              <w:t>[GG.AA.YYYY] — bir (1) yıl</w:t>
            </w:r>
          </w:p>
        </w:tc>
      </w:tr>
      <w:tr>
        <w:tc>
          <w:tcPr>
            <w:tcW w:type="dxa" w:w="2948"/>
          </w:tcPr>
          <w:p>
            <w:r>
              <w:rPr>
                <w:rFonts w:ascii="Times New Roman" w:hAnsi="Times New Roman"/>
                <w:b/>
                <w:sz w:val="20"/>
              </w:rPr>
              <w:t>Aylık kira bedeli</w:t>
            </w:r>
          </w:p>
        </w:tc>
        <w:tc>
          <w:tcPr>
            <w:tcW w:type="dxa" w:w="6463"/>
          </w:tcPr>
          <w:p>
            <w:r>
              <w:rPr>
                <w:rFonts w:ascii="Times New Roman" w:hAnsi="Times New Roman"/>
                <w:b w:val="0"/>
                <w:sz w:val="20"/>
              </w:rPr>
              <w:t>[ ] TL (yazıyla: [ ])</w:t>
            </w:r>
          </w:p>
        </w:tc>
      </w:tr>
      <w:tr>
        <w:tc>
          <w:tcPr>
            <w:tcW w:type="dxa" w:w="2948"/>
          </w:tcPr>
          <w:p>
            <w:r>
              <w:rPr>
                <w:rFonts w:ascii="Times New Roman" w:hAnsi="Times New Roman"/>
                <w:b/>
                <w:sz w:val="20"/>
              </w:rPr>
              <w:t>Ödeme şekli</w:t>
            </w:r>
          </w:p>
        </w:tc>
        <w:tc>
          <w:tcPr>
            <w:tcW w:type="dxa" w:w="6463"/>
          </w:tcPr>
          <w:p>
            <w:r>
              <w:rPr>
                <w:rFonts w:ascii="Times New Roman" w:hAnsi="Times New Roman"/>
                <w:b w:val="0"/>
                <w:sz w:val="20"/>
              </w:rPr>
              <w:t>Her ayın en geç [5]. günü, [IBAN] hesabına</w:t>
            </w:r>
          </w:p>
        </w:tc>
      </w:tr>
      <w:tr>
        <w:tc>
          <w:tcPr>
            <w:tcW w:type="dxa" w:w="2948"/>
          </w:tcPr>
          <w:p>
            <w:r>
              <w:rPr>
                <w:rFonts w:ascii="Times New Roman" w:hAnsi="Times New Roman"/>
                <w:b/>
                <w:sz w:val="20"/>
              </w:rPr>
              <w:t>Güvence bedeli</w:t>
            </w:r>
          </w:p>
        </w:tc>
        <w:tc>
          <w:tcPr>
            <w:tcW w:type="dxa" w:w="6463"/>
          </w:tcPr>
          <w:p>
            <w:r>
              <w:rPr>
                <w:rFonts w:ascii="Times New Roman" w:hAnsi="Times New Roman"/>
                <w:b w:val="0"/>
                <w:sz w:val="20"/>
              </w:rPr>
              <w:t>[ ] TL — üç aylık kira bedeli karşılığı (eşyalı kiralamada üst sınırdan)</w:t>
            </w:r>
          </w:p>
        </w:tc>
      </w:tr>
      <w:tr>
        <w:tc>
          <w:tcPr>
            <w:tcW w:type="dxa" w:w="2948"/>
          </w:tcPr>
          <w:p>
            <w:r>
              <w:rPr>
                <w:rFonts w:ascii="Times New Roman" w:hAnsi="Times New Roman"/>
                <w:b/>
                <w:sz w:val="20"/>
              </w:rPr>
              <w:t>Kullanım amacı</w:t>
            </w:r>
          </w:p>
        </w:tc>
        <w:tc>
          <w:tcPr>
            <w:tcW w:type="dxa" w:w="6463"/>
          </w:tcPr>
          <w:p>
            <w:r>
              <w:rPr>
                <w:rFonts w:ascii="Times New Roman" w:hAnsi="Times New Roman"/>
                <w:b w:val="0"/>
                <w:sz w:val="20"/>
              </w:rPr>
              <w:t>Yalnızca konut</w:t>
            </w:r>
          </w:p>
        </w:tc>
      </w:tr>
      <w:tr>
        <w:tc>
          <w:tcPr>
            <w:tcW w:type="dxa" w:w="2948"/>
          </w:tcPr>
          <w:p>
            <w:r>
              <w:rPr>
                <w:rFonts w:ascii="Times New Roman" w:hAnsi="Times New Roman"/>
                <w:b/>
                <w:sz w:val="20"/>
              </w:rPr>
              <w:t>Demirbaş listesi</w:t>
            </w:r>
          </w:p>
        </w:tc>
        <w:tc>
          <w:tcPr>
            <w:tcW w:type="dxa" w:w="6463"/>
          </w:tcPr>
          <w:p>
            <w:r>
              <w:rPr>
                <w:rFonts w:ascii="Times New Roman" w:hAnsi="Times New Roman"/>
                <w:b w:val="0"/>
                <w:sz w:val="20"/>
              </w:rPr>
              <w:t>Ek 1’de sayılmış ve değerleri takdir edilmiştir</w:t>
            </w:r>
          </w:p>
        </w:tc>
      </w:tr>
    </w:tbl>
    <w:p/>
    <w:p>
      <w:r>
        <w:rPr>
          <w:rFonts w:ascii="Times New Roman" w:hAnsi="Times New Roman"/>
          <w:b/>
          <w:sz w:val="24"/>
        </w:rPr>
        <w:t>SÖZLEŞME HÜKÜMLERİ</w:t>
      </w:r>
    </w:p>
    <w:p>
      <w:r>
        <w:rPr>
          <w:rFonts w:ascii="Times New Roman" w:hAnsi="Times New Roman"/>
          <w:b/>
          <w:sz w:val="22"/>
        </w:rPr>
        <w:t>Madde 1 — Konu</w:t>
      </w:r>
    </w:p>
    <w:p>
      <w:pPr>
        <w:jc w:val="both"/>
      </w:pPr>
      <w:r>
        <w:rPr>
          <w:rFonts w:ascii="Times New Roman" w:hAnsi="Times New Roman"/>
          <w:b w:val="0"/>
          <w:sz w:val="22"/>
        </w:rPr>
        <w:t>Kiraya veren, yukarıda yazılı daireyi Ek 1’deki demirbaş listesinde sayılan eşyalarla birlikte konut olarak kiracıya kiralamıştır. Kiralananla birlikte kullanımı kiracıya bırakılan eşya, konut kirasına ilişkin hükümlere tabidir.</w:t>
      </w:r>
    </w:p>
    <w:p>
      <w:r>
        <w:rPr>
          <w:rFonts w:ascii="Times New Roman" w:hAnsi="Times New Roman"/>
          <w:b/>
          <w:sz w:val="22"/>
        </w:rPr>
        <w:t>Madde 2 — Süre ve uzama</w:t>
      </w:r>
    </w:p>
    <w:p>
      <w:pPr>
        <w:jc w:val="both"/>
      </w:pPr>
      <w:r>
        <w:rPr>
          <w:rFonts w:ascii="Times New Roman" w:hAnsi="Times New Roman"/>
          <w:b w:val="0"/>
          <w:sz w:val="22"/>
        </w:rPr>
        <w:t>Sözleşme bir yıl sürelidir. Kiracı, sürenin bitiminden en az on beş gün önce yazılı bildirimde bulunmadıkça sözleşme aynı koşullarla birer yıl uzar. Kiraya veren sürenin bitimine dayanarak sözleşmeyi sona erdiremez.</w:t>
      </w:r>
    </w:p>
    <w:p>
      <w:r>
        <w:rPr>
          <w:rFonts w:ascii="Times New Roman" w:hAnsi="Times New Roman"/>
          <w:b/>
          <w:sz w:val="22"/>
        </w:rPr>
        <w:t>Madde 3 — Kira bedeli, ödeme ve artış</w:t>
      </w:r>
    </w:p>
    <w:p>
      <w:pPr>
        <w:jc w:val="both"/>
      </w:pPr>
      <w:r>
        <w:rPr>
          <w:rFonts w:ascii="Times New Roman" w:hAnsi="Times New Roman"/>
          <w:b w:val="0"/>
          <w:sz w:val="22"/>
        </w:rPr>
        <w:t>Kira bedeli her ayın en geç [5]. günü banka hesabına yatırılır. Yenilenen dönemlerde artış, bir önceki kira yılının tüketici fiyat endeksindeki on iki aylık ortalamalara göre değişim oranını geçemez. Eşyanın kira bedeline dâhil olduğu ve eşya için ayrı bir bedel ödenmeyeceği kabul edilmiştir.</w:t>
      </w:r>
    </w:p>
    <w:p>
      <w:r>
        <w:rPr>
          <w:rFonts w:ascii="Times New Roman" w:hAnsi="Times New Roman"/>
          <w:b/>
          <w:sz w:val="22"/>
        </w:rPr>
        <w:t>Madde 4 — Demirbaş listesi ve değer takdiri</w:t>
      </w:r>
    </w:p>
    <w:p>
      <w:pPr>
        <w:jc w:val="both"/>
      </w:pPr>
      <w:r>
        <w:rPr>
          <w:rFonts w:ascii="Times New Roman" w:hAnsi="Times New Roman"/>
          <w:b w:val="0"/>
          <w:sz w:val="22"/>
        </w:rPr>
        <w:t>Ek 1’deki listede her eşyanın cinsi, markası, modeli, adedi, teslim anındaki durumu ve tarafların birlikte takdir ettikleri değeri yazılıdır. Listeye alınmamış eşya kiralananla birlikte teslim edilmemiş sayılır. Liste iki nüsha düzenlenmiş, her sayfası taraflarca paraflanmıştır.</w:t>
      </w:r>
    </w:p>
    <w:p>
      <w:pPr>
        <w:jc w:val="both"/>
      </w:pPr>
      <w:r>
        <w:rPr>
          <w:rFonts w:ascii="Times New Roman" w:hAnsi="Times New Roman"/>
          <w:b w:val="0"/>
          <w:sz w:val="22"/>
        </w:rPr>
        <w:t>Kiracı, listedeki eşyanın olağan kullanım sonucu eskimesinden sorumlu değildir. Kaybolan, kırılan ya da olağan kullanımı aşan biçimde hasar gören eşya için kiracı, listedeki takdir değerini ya da eşyanın onarım bedelini, hangisi düşükse onu öder; eşyanın aynı tür ve değerde yenisini vererek de borcundan kurtulabilir.</w:t>
      </w:r>
    </w:p>
    <w:p>
      <w:r>
        <w:rPr>
          <w:rFonts w:ascii="Times New Roman" w:hAnsi="Times New Roman"/>
          <w:b/>
          <w:sz w:val="22"/>
        </w:rPr>
        <w:t>Madde 5 — Eşyanın kullanımı</w:t>
      </w:r>
    </w:p>
    <w:p>
      <w:pPr>
        <w:jc w:val="both"/>
      </w:pPr>
      <w:r>
        <w:rPr>
          <w:rFonts w:ascii="Times New Roman" w:hAnsi="Times New Roman"/>
          <w:b w:val="0"/>
          <w:sz w:val="22"/>
        </w:rPr>
        <w:t>Kiracı eşyayı özgülendiği amaca uygun ve özenle kullanır. Beyaz eşyanın kullanım kılavuzuna aykırı kullanımından, mobilyanın taşınması ya da daire dışına çıkarılmasından doğan hasar kiracıya aittir. Kiracı, kiraya verenin yazılı izni olmadan demirbaş eşyayı daire dışına çıkaramaz, satamaz, rehnedemez.</w:t>
      </w:r>
    </w:p>
    <w:p>
      <w:pPr>
        <w:jc w:val="both"/>
      </w:pPr>
      <w:r>
        <w:rPr>
          <w:rFonts w:ascii="Times New Roman" w:hAnsi="Times New Roman"/>
          <w:b w:val="0"/>
          <w:sz w:val="22"/>
        </w:rPr>
        <w:t>Kiracı, dilerse kendi eşyasını daireye getirebilir. Kiracının getirdiği eşya, tahliyede kiracı tarafından alınır; kiraya verenin kanundan doğan hapis hakkı saklıdır.</w:t>
      </w:r>
    </w:p>
    <w:p>
      <w:r>
        <w:rPr>
          <w:rFonts w:ascii="Times New Roman" w:hAnsi="Times New Roman"/>
          <w:b/>
          <w:sz w:val="22"/>
        </w:rPr>
        <w:t>Madde 6 — Arıza ve onarım</w:t>
      </w:r>
    </w:p>
    <w:p>
      <w:pPr>
        <w:jc w:val="both"/>
      </w:pPr>
      <w:r>
        <w:rPr>
          <w:rFonts w:ascii="Times New Roman" w:hAnsi="Times New Roman"/>
          <w:b w:val="0"/>
          <w:sz w:val="22"/>
        </w:rPr>
        <w:t>Beyaz eşyanın üretim hatasından veya olağan ömrünü tamamlamasından kaynaklanan arızaları kiraya veren giderir; kiracı arızayı fark ettiği gün kiraya verene bildirir. Kullanım hatasından doğan arızalar ve küçük bakım giderleri (filtre temizliği, ampul, pil, kombi yıllık bakımı) kiracıya aittir. Kiracı, kiraya verenin yazılı onayı olmadan eşyayı yetkisiz servise gösteremez; aksi hâlde garanti kaybından sorumludur.</w:t>
      </w:r>
    </w:p>
    <w:p>
      <w:r>
        <w:rPr>
          <w:rFonts w:ascii="Times New Roman" w:hAnsi="Times New Roman"/>
          <w:b/>
          <w:sz w:val="22"/>
        </w:rPr>
        <w:t>Madde 7 — Güvence bedeli</w:t>
      </w:r>
    </w:p>
    <w:p>
      <w:pPr>
        <w:jc w:val="both"/>
      </w:pPr>
      <w:r>
        <w:rPr>
          <w:rFonts w:ascii="Times New Roman" w:hAnsi="Times New Roman"/>
          <w:b w:val="0"/>
          <w:sz w:val="22"/>
        </w:rPr>
        <w:t>Güvence bedeli üç aylık kira bedeli tutarındadır ve kiraya verenin onayı olmadan çekilmemek üzere vadeli tasarruf hesabına yatırılır. Güvence, eşya hasarı ve kira alacağı dışında bir borca mahsup edilemez.</w:t>
      </w:r>
    </w:p>
    <w:p>
      <w:r>
        <w:rPr>
          <w:rFonts w:ascii="Times New Roman" w:hAnsi="Times New Roman"/>
          <w:b/>
          <w:sz w:val="22"/>
        </w:rPr>
        <w:t>Madde 8 — Giderler</w:t>
      </w:r>
    </w:p>
    <w:p>
      <w:pPr>
        <w:jc w:val="both"/>
      </w:pPr>
      <w:r>
        <w:rPr>
          <w:rFonts w:ascii="Times New Roman" w:hAnsi="Times New Roman"/>
          <w:b w:val="0"/>
          <w:sz w:val="22"/>
        </w:rPr>
        <w:t>Elektrik, su, doğalgaz, internet ve olağan aidat kiracıya; binaya yönelik yatırım niteliğindeki giderler ile olağanüstü aidatlar kiraya verene aittir. Eşyalı dairelerde kombinin yıllık bakımı ve klimanın yıllık temizliği kiracı tarafından yaptırılır ve belgesi saklanır.</w:t>
      </w:r>
    </w:p>
    <w:p>
      <w:r>
        <w:rPr>
          <w:rFonts w:ascii="Times New Roman" w:hAnsi="Times New Roman"/>
          <w:b/>
          <w:sz w:val="22"/>
        </w:rPr>
        <w:t>Madde 9 — Temizlik ve teslim standardı</w:t>
      </w:r>
    </w:p>
    <w:p>
      <w:pPr>
        <w:jc w:val="both"/>
      </w:pPr>
      <w:r>
        <w:rPr>
          <w:rFonts w:ascii="Times New Roman" w:hAnsi="Times New Roman"/>
          <w:b w:val="0"/>
          <w:sz w:val="22"/>
        </w:rPr>
        <w:t>Kiralanan, profesyonel temizliği yapılmış olarak teslim edilmiştir. Kiracı, tahliyede daireyi ve eşyaları aynı standartta temizlenmiş olarak teslim eder; teslim anında temizlik yapılmamışsa kiraya veren, belgelendireceği temizlik bedelini güvenceden mahsup edebilir.</w:t>
      </w:r>
    </w:p>
    <w:p>
      <w:r>
        <w:rPr>
          <w:rFonts w:ascii="Times New Roman" w:hAnsi="Times New Roman"/>
          <w:b/>
          <w:sz w:val="22"/>
        </w:rPr>
        <w:t>Madde 10 — Evcil hayvan ve sigara</w:t>
      </w:r>
    </w:p>
    <w:p>
      <w:pPr>
        <w:jc w:val="both"/>
      </w:pPr>
      <w:r>
        <w:rPr>
          <w:rFonts w:ascii="Times New Roman" w:hAnsi="Times New Roman"/>
          <w:b w:val="0"/>
          <w:sz w:val="22"/>
        </w:rPr>
        <w:t>Kiralananda evcil hayvan bulundurulması [serbesttir / kiraya verenin yazılı iznine bağlıdır]. Kapalı alanda sigara içilmesinden kaynaklanan koku ve leke temizliği ile döşeme yenileme gideri kiracıya aittir.</w:t>
      </w:r>
    </w:p>
    <w:p>
      <w:r>
        <w:rPr>
          <w:rFonts w:ascii="Times New Roman" w:hAnsi="Times New Roman"/>
          <w:b/>
          <w:sz w:val="22"/>
        </w:rPr>
        <w:t>Madde 11 — Özenle kullanma, komşuluk ve yönetim planı</w:t>
      </w:r>
    </w:p>
    <w:p>
      <w:pPr>
        <w:jc w:val="both"/>
      </w:pPr>
      <w:r>
        <w:rPr>
          <w:rFonts w:ascii="Times New Roman" w:hAnsi="Times New Roman"/>
          <w:b w:val="0"/>
          <w:sz w:val="22"/>
        </w:rPr>
        <w:t>Kiracı, apartman yönetim planına ve kat malikleri kurulu kararlarına uyar; komşulara gerekli saygıyı gösterir. Kiraya veren, bu yükümlülüğün ihlali hâlinde en az otuz günlük süre vererek ihlalin giderilmesini ister; sürenin sonunda ihlal sürerse kanunun tanıdığı fesih hakkını kullanabilir.</w:t>
      </w:r>
    </w:p>
    <w:p>
      <w:r>
        <w:rPr>
          <w:rFonts w:ascii="Times New Roman" w:hAnsi="Times New Roman"/>
          <w:b/>
          <w:sz w:val="22"/>
        </w:rPr>
        <w:t>Madde 12 — Alt kira ve devir yasağı</w:t>
      </w:r>
    </w:p>
    <w:p>
      <w:pPr>
        <w:jc w:val="both"/>
      </w:pPr>
      <w:r>
        <w:rPr>
          <w:rFonts w:ascii="Times New Roman" w:hAnsi="Times New Roman"/>
          <w:b w:val="0"/>
          <w:sz w:val="22"/>
        </w:rPr>
        <w:t>Kiracı, kiraya verenin yazılı rızası olmadan kiralananı ve eşyayı kısmen ya da tamamen başkasına kiralayamaz, günlük veya haftalık kiralama platformlarında ilan edemez, kullanım hakkını devredemez.</w:t>
      </w:r>
    </w:p>
    <w:p>
      <w:r>
        <w:rPr>
          <w:rFonts w:ascii="Times New Roman" w:hAnsi="Times New Roman"/>
          <w:b/>
          <w:sz w:val="22"/>
        </w:rPr>
        <w:t>Madde 13 — Temerrüt</w:t>
      </w:r>
    </w:p>
    <w:p>
      <w:pPr>
        <w:jc w:val="both"/>
      </w:pPr>
      <w:r>
        <w:rPr>
          <w:rFonts w:ascii="Times New Roman" w:hAnsi="Times New Roman"/>
          <w:b w:val="0"/>
          <w:sz w:val="22"/>
        </w:rPr>
        <w:t>Kiracı, muaccel kira bedelini ödemezse kiraya veren yazılı bildirimle en az otuz günlük süre verir; sürede ödeme yapılmazsa sözleşmeyi feshedebilir. Ceza koşulu veya muacceliyet kaydı öngörülmemiştir.</w:t>
      </w:r>
    </w:p>
    <w:p>
      <w:r>
        <w:rPr>
          <w:rFonts w:ascii="Times New Roman" w:hAnsi="Times New Roman"/>
          <w:b/>
          <w:sz w:val="22"/>
        </w:rPr>
        <w:t>Madde 14 — Fesih ve erken tahliye</w:t>
      </w:r>
    </w:p>
    <w:p>
      <w:pPr>
        <w:jc w:val="both"/>
      </w:pPr>
      <w:r>
        <w:rPr>
          <w:rFonts w:ascii="Times New Roman" w:hAnsi="Times New Roman"/>
          <w:b w:val="0"/>
          <w:sz w:val="22"/>
        </w:rPr>
        <w:t>Fesih bildirimleri yazılı yapılır. Kiracı süreye uymadan tahliye ederse, kiralananın benzer koşullarla yeniden kiraya verilebileceği makul süre için kira borcu devam eder; kiracının uygun yeni kiracı bulması hâlinde borç sona erer.</w:t>
      </w:r>
    </w:p>
    <w:p>
      <w:r>
        <w:rPr>
          <w:rFonts w:ascii="Times New Roman" w:hAnsi="Times New Roman"/>
          <w:b/>
          <w:sz w:val="22"/>
        </w:rPr>
        <w:t>Madde 15 — Geri verme ve hasar tespiti</w:t>
      </w:r>
    </w:p>
    <w:p>
      <w:pPr>
        <w:jc w:val="both"/>
      </w:pPr>
      <w:r>
        <w:rPr>
          <w:rFonts w:ascii="Times New Roman" w:hAnsi="Times New Roman"/>
          <w:b w:val="0"/>
          <w:sz w:val="22"/>
        </w:rPr>
        <w:t>Tahliyede taraflar, Ek 1’deki listeyi birlikte kontrol eder ve Ek 2’deki hasar tespit tutanağını düzenler. Kiraya veren, kiracının sorumlu olduğu eksiklikleri ve hasarları geri verme sırasında hemen yazılı olarak bildirir; bildirilmeyen eksikliklerden kiracı sorumlu değildir. Gizli hasarlar için kiracının sorumluluğu, kiraya verenin durumu öğrenir öğrenmez yazılı bildirmesi koşuluyla devam eder.</w:t>
      </w:r>
    </w:p>
    <w:p>
      <w:r>
        <w:rPr>
          <w:rFonts w:ascii="Times New Roman" w:hAnsi="Times New Roman"/>
          <w:b/>
          <w:sz w:val="22"/>
        </w:rPr>
        <w:t>Madde 16 — Tebligat, damga vergisi ve uyuşmazlık</w:t>
      </w:r>
    </w:p>
    <w:p>
      <w:pPr>
        <w:jc w:val="both"/>
      </w:pPr>
      <w:r>
        <w:rPr>
          <w:rFonts w:ascii="Times New Roman" w:hAnsi="Times New Roman"/>
          <w:b w:val="0"/>
          <w:sz w:val="22"/>
        </w:rPr>
        <w:t>Tarafların yukarıdaki adresleri tebligat adresidir. Gerçek kişiler arasındaki bu konut kira sözleşmesi damga vergisinden istisnadır. Uyuşmazlıklarda dava açılmadan önce arabulucuya başvurulması dava şartıdır; yetkili mahkeme kanuni yetki kurallarına göre belirlenir.</w:t>
      </w:r>
    </w:p>
    <w:p>
      <w:r>
        <w:rPr>
          <w:rFonts w:ascii="Times New Roman" w:hAnsi="Times New Roman"/>
          <w:b/>
          <w:sz w:val="22"/>
        </w:rPr>
        <w:t>Madde 17 — Nüsha</w:t>
      </w:r>
    </w:p>
    <w:p>
      <w:pPr>
        <w:jc w:val="both"/>
      </w:pPr>
      <w:r>
        <w:rPr>
          <w:rFonts w:ascii="Times New Roman" w:hAnsi="Times New Roman"/>
          <w:b w:val="0"/>
          <w:sz w:val="22"/>
        </w:rPr>
        <w:t>On yedi madde ve iki ekten oluşan bu sözleşme iki nüsha düzenlenmiş, [GG.AA.YYYY] tarihinde imzalanmıştır.</w:t>
      </w:r>
    </w:p>
    <w:p/>
    <w:p>
      <w:r>
        <w:rPr>
          <w:rFonts w:ascii="Times New Roman" w:hAnsi="Times New Roman"/>
          <w:b/>
          <w:sz w:val="22"/>
        </w:rPr>
        <w:t>EK 1 — DEMİRBAŞ LİSTESİ VE DEĞER TAKDİRİ</w:t>
      </w:r>
    </w:p>
    <w:p>
      <w:r>
        <w:rPr>
          <w:rFonts w:ascii="Times New Roman" w:hAnsi="Times New Roman"/>
          <w:b w:val="0"/>
          <w:sz w:val="21"/>
        </w:rPr>
        <w:t>Salon: [ ] kişilik koltuk takımı ([MARKA], [durum], takdir değeri [ ] TL) — TV ünitesi ([ ]) — [ ] inç televizyon ([MARKA/MODEL], seri no [ ], [ ] TL) — yemek masası ve [ ] sandalye ([ ] TL)</w:t>
      </w:r>
    </w:p>
    <w:p>
      <w:r>
        <w:rPr>
          <w:rFonts w:ascii="Times New Roman" w:hAnsi="Times New Roman"/>
          <w:b w:val="0"/>
          <w:sz w:val="21"/>
        </w:rPr>
        <w:t>Mutfak: buzdolabı ([MARKA/MODEL], seri no [ ], [ ] TL) — çamaşır makinesi ([ ] TL) — bulaşık makinesi ([ ] TL) — fırın ve ocak ([ ] TL) — mikrodalga ([ ] TL)</w:t>
      </w:r>
    </w:p>
    <w:p>
      <w:r>
        <w:rPr>
          <w:rFonts w:ascii="Times New Roman" w:hAnsi="Times New Roman"/>
          <w:b w:val="0"/>
          <w:sz w:val="21"/>
        </w:rPr>
        <w:t>Yatak odası: [ ] karyola ve yatak ([ ] TL) — gardırop ([ ] TL) — komodin [ ] adet</w:t>
      </w:r>
    </w:p>
    <w:p>
      <w:r>
        <w:rPr>
          <w:rFonts w:ascii="Times New Roman" w:hAnsi="Times New Roman"/>
          <w:b w:val="0"/>
          <w:sz w:val="21"/>
        </w:rPr>
        <w:t>Diğer: klima ([MARKA], [ ] BTU, [ ] TL) — kombi ([MARKA], seri no [ ]) — perdeler ([ ] TL) — [ ] adet anahtar</w:t>
      </w:r>
    </w:p>
    <w:p>
      <w:r>
        <w:rPr>
          <w:rFonts w:ascii="Times New Roman" w:hAnsi="Times New Roman"/>
          <w:b w:val="0"/>
          <w:sz w:val="21"/>
        </w:rPr>
        <w:t>Toplam takdir değeri: [ ] TL. Liste iki sayfadan oluşur, her sayfa paraflanmıştır.</w:t>
      </w:r>
    </w:p>
    <w:p/>
    <w:p>
      <w:r>
        <w:rPr>
          <w:rFonts w:ascii="Times New Roman" w:hAnsi="Times New Roman"/>
          <w:b/>
          <w:sz w:val="22"/>
        </w:rPr>
        <w:t>EK 2 — TAHLİYE HASAR TESPİT TUTANAĞI (TAHLİYEDE DOLDURULUR)</w:t>
      </w:r>
    </w:p>
    <w:p>
      <w:r>
        <w:rPr>
          <w:rFonts w:ascii="Times New Roman" w:hAnsi="Times New Roman"/>
          <w:b w:val="0"/>
          <w:sz w:val="21"/>
        </w:rPr>
        <w:t>Tahliye tarihi: [ ] — Kontrol eden taraflar: [ ]</w:t>
      </w:r>
    </w:p>
    <w:p>
      <w:r>
        <w:rPr>
          <w:rFonts w:ascii="Times New Roman" w:hAnsi="Times New Roman"/>
          <w:b w:val="0"/>
          <w:sz w:val="21"/>
        </w:rPr>
        <w:t>Eksik eşya: [ ] — Hasarlı eşya ve hasarın tanımı: [ ] — Uzlaşılan bedel: [ ] TL</w:t>
      </w:r>
    </w:p>
    <w:p>
      <w:r>
        <w:rPr>
          <w:rFonts w:ascii="Times New Roman" w:hAnsi="Times New Roman"/>
          <w:b w:val="0"/>
          <w:sz w:val="21"/>
        </w:rPr>
        <w:t>Sayaç endeksleri: elektrik [ ] su [ ] doğalgaz [ ] — Teslim edilen anahtar sayısı: [ ]</w:t>
      </w:r>
    </w:p>
    <w:p>
      <w:r>
        <w:rPr>
          <w:rFonts w:ascii="Times New Roman" w:hAnsi="Times New Roman"/>
          <w:b w:val="0"/>
          <w:sz w:val="21"/>
        </w:rPr>
        <w:t>Güvenceden mahsup edilecek tutar: [ ] TL — İade edilecek tutar: [ ] TL — İade tarihi: [ ]</w:t>
      </w:r>
    </w:p>
    <w:p/>
    <w:tbl>
      <w:tblPr>
        <w:tblW w:type="auto" w:w="0"/>
        <w:jc w:val="center"/>
        <w:tblLook w:firstColumn="1" w:firstRow="1" w:lastColumn="0" w:lastRow="0" w:noHBand="0" w:noVBand="1" w:val="04A0"/>
      </w:tblPr>
      <w:tblGrid>
        <w:gridCol w:w="4873"/>
        <w:gridCol w:w="4873"/>
      </w:tblGrid>
      <w:tr>
        <w:tc>
          <w:tcPr>
            <w:tcW w:type="dxa" w:w="4873"/>
          </w:tcPr>
          <w:p>
            <w:pPr>
              <w:jc w:val="center"/>
            </w:pPr>
            <w:r>
              <w:rPr>
                <w:rFonts w:ascii="Times New Roman" w:hAnsi="Times New Roman"/>
                <w:b/>
                <w:sz w:val="20"/>
              </w:rPr>
              <w:t>KİRAYA VEREN</w:t>
            </w:r>
          </w:p>
        </w:tc>
        <w:tc>
          <w:tcPr>
            <w:tcW w:type="dxa" w:w="4873"/>
          </w:tcPr>
          <w:p>
            <w:pPr>
              <w:jc w:val="center"/>
            </w:pPr>
            <w:r>
              <w:rPr>
                <w:rFonts w:ascii="Times New Roman" w:hAnsi="Times New Roman"/>
                <w:b/>
                <w:sz w:val="20"/>
              </w:rPr>
              <w:t>KİRACI</w:t>
            </w:r>
          </w:p>
        </w:tc>
      </w:tr>
      <w:tr>
        <w:tc>
          <w:tcPr>
            <w:tcW w:type="dxa" w:w="4873"/>
          </w:tcPr>
          <w:p>
            <w:pPr>
              <w:jc w:val="center"/>
            </w:pPr>
            <w:r>
              <w:rPr>
                <w:rFonts w:ascii="Times New Roman" w:hAnsi="Times New Roman"/>
                <w:b w:val="0"/>
                <w:sz w:val="20"/>
              </w:rPr>
              <w:br/>
              <w:br/>
              <w:t>Ad Soyad:</w:t>
              <w:br/>
              <w:br/>
              <w:t>İmza:</w:t>
            </w:r>
          </w:p>
        </w:tc>
        <w:tc>
          <w:tcPr>
            <w:tcW w:type="dxa" w:w="4873"/>
          </w:tcPr>
          <w:p>
            <w:pPr>
              <w:jc w:val="center"/>
            </w:pPr>
            <w:r>
              <w:rPr>
                <w:rFonts w:ascii="Times New Roman" w:hAnsi="Times New Roman"/>
                <w:b w:val="0"/>
                <w:sz w:val="20"/>
              </w:rPr>
              <w:br/>
              <w:br/>
              <w:t>Ad Soyad:</w:t>
              <w:br/>
              <w:br/>
              <w:t>İmza:</w:t>
            </w:r>
          </w:p>
        </w:tc>
      </w:tr>
    </w:tbl>
    <w:p/>
    <w:p>
      <w:r>
        <w:rPr>
          <w:rFonts w:ascii="Times New Roman" w:hAnsi="Times New Roman"/>
          <w:b w:val="0"/>
          <w:sz w:val="16"/>
        </w:rPr>
        <w:t>Bu belge www.ferhatsatan.com adresinde yayımlanan “Gayrimenkul Kira Sözleşmesi Örnekleri” yazısının ekidir. Örnek niteliğindedir; köşeli parantez içindeki alanlar somut duruma göre doldurulmalı, gerekmeyen seçenekler silinmelidir. Hukuki tavsiye yerine geçmez.</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