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KONUT KİRA SÖZLEŞMESİ (STANDART, BELİRLİ SÜRELİ)</w:t>
      </w:r>
    </w:p>
    <w:p>
      <w:pPr>
        <w:jc w:val="center"/>
      </w:pPr>
      <w:r>
        <w:rPr>
          <w:rFonts w:ascii="Times New Roman" w:hAnsi="Times New Roman"/>
          <w:b w:val="0"/>
          <w:sz w:val="20"/>
        </w:rPr>
        <w:t>Sözleşme No: [ ]    Düzenleme yeri ve tarihi: [İL], [GG.AA.YYYY]</w:t>
      </w:r>
    </w:p>
    <w:tbl>
      <w:tblPr>
        <w:tblStyle w:val="TableGrid"/>
        <w:tblW w:type="auto" w:w="0"/>
        <w:jc w:val="center"/>
        <w:tblLayout w:type="fixed"/>
        <w:tblLook w:firstColumn="1" w:firstRow="1" w:lastColumn="0" w:lastRow="0" w:noHBand="0" w:noVBand="1" w:val="04A0"/>
      </w:tblPr>
      <w:tblGrid>
        <w:gridCol w:w="4873"/>
        <w:gridCol w:w="4873"/>
      </w:tblGrid>
      <w:tr>
        <w:tc>
          <w:tcPr>
            <w:tcW w:type="dxa" w:w="2948"/>
          </w:tcPr>
          <w:p>
            <w:r>
              <w:rPr>
                <w:rFonts w:ascii="Times New Roman" w:hAnsi="Times New Roman"/>
                <w:b/>
                <w:sz w:val="20"/>
              </w:rPr>
              <w:t>Kiralananın adresi</w:t>
            </w:r>
          </w:p>
        </w:tc>
        <w:tc>
          <w:tcPr>
            <w:tcW w:type="dxa" w:w="6463"/>
          </w:tcPr>
          <w:p>
            <w:r>
              <w:rPr>
                <w:rFonts w:ascii="Times New Roman" w:hAnsi="Times New Roman"/>
                <w:b w:val="0"/>
                <w:sz w:val="20"/>
              </w:rPr>
              <w:t>[MAHALLE], [CADDE/SOKAK], No: [ ], Daire: [ ], [İLÇE]/[İL]</w:t>
            </w:r>
          </w:p>
        </w:tc>
      </w:tr>
      <w:tr>
        <w:tc>
          <w:tcPr>
            <w:tcW w:type="dxa" w:w="2948"/>
          </w:tcPr>
          <w:p>
            <w:r>
              <w:rPr>
                <w:rFonts w:ascii="Times New Roman" w:hAnsi="Times New Roman"/>
                <w:b/>
                <w:sz w:val="20"/>
              </w:rPr>
              <w:t>Tapu bilgileri</w:t>
            </w:r>
          </w:p>
        </w:tc>
        <w:tc>
          <w:tcPr>
            <w:tcW w:type="dxa" w:w="6463"/>
          </w:tcPr>
          <w:p>
            <w:r>
              <w:rPr>
                <w:rFonts w:ascii="Times New Roman" w:hAnsi="Times New Roman"/>
                <w:b w:val="0"/>
                <w:sz w:val="20"/>
              </w:rPr>
              <w:t>Ada: [ ]  Parsel: [ ]  Bağımsız bölüm no: [ ]</w:t>
            </w:r>
          </w:p>
        </w:tc>
      </w:tr>
      <w:tr>
        <w:tc>
          <w:tcPr>
            <w:tcW w:type="dxa" w:w="2948"/>
          </w:tcPr>
          <w:p>
            <w:r>
              <w:rPr>
                <w:rFonts w:ascii="Times New Roman" w:hAnsi="Times New Roman"/>
                <w:b/>
                <w:sz w:val="20"/>
              </w:rPr>
              <w:t>Kiralananın cinsi</w:t>
            </w:r>
          </w:p>
        </w:tc>
        <w:tc>
          <w:tcPr>
            <w:tcW w:type="dxa" w:w="6463"/>
          </w:tcPr>
          <w:p>
            <w:r>
              <w:rPr>
                <w:rFonts w:ascii="Times New Roman" w:hAnsi="Times New Roman"/>
                <w:b w:val="0"/>
                <w:sz w:val="20"/>
              </w:rPr>
              <w:t>Apartman dairesi ([ ] oda + [ ] salon, [ ] m²)</w:t>
            </w:r>
          </w:p>
        </w:tc>
      </w:tr>
      <w:tr>
        <w:tc>
          <w:tcPr>
            <w:tcW w:type="dxa" w:w="2948"/>
          </w:tcPr>
          <w:p>
            <w:r>
              <w:rPr>
                <w:rFonts w:ascii="Times New Roman" w:hAnsi="Times New Roman"/>
                <w:b/>
                <w:sz w:val="20"/>
              </w:rPr>
              <w:t>Kiraya veren</w:t>
            </w:r>
          </w:p>
        </w:tc>
        <w:tc>
          <w:tcPr>
            <w:tcW w:type="dxa" w:w="6463"/>
          </w:tcPr>
          <w:p>
            <w:r>
              <w:rPr>
                <w:rFonts w:ascii="Times New Roman" w:hAnsi="Times New Roman"/>
                <w:b w:val="0"/>
                <w:sz w:val="20"/>
              </w:rPr>
              <w:t>[AD SOYAD] — T.C. Kimlik No: [ ] — Adres: [ ] — Telefon/E-posta: [ ]</w:t>
            </w:r>
          </w:p>
        </w:tc>
      </w:tr>
      <w:tr>
        <w:tc>
          <w:tcPr>
            <w:tcW w:type="dxa" w:w="2948"/>
          </w:tcPr>
          <w:p>
            <w:r>
              <w:rPr>
                <w:rFonts w:ascii="Times New Roman" w:hAnsi="Times New Roman"/>
                <w:b/>
                <w:sz w:val="20"/>
              </w:rPr>
              <w:t>Kiracı</w:t>
            </w:r>
          </w:p>
        </w:tc>
        <w:tc>
          <w:tcPr>
            <w:tcW w:type="dxa" w:w="6463"/>
          </w:tcPr>
          <w:p>
            <w:r>
              <w:rPr>
                <w:rFonts w:ascii="Times New Roman" w:hAnsi="Times New Roman"/>
                <w:b w:val="0"/>
                <w:sz w:val="20"/>
              </w:rPr>
              <w:t>[AD SOYAD] — T.C. Kimlik No: [ ] — Adres: [ ] — Telefon/E-posta: [ ]</w:t>
            </w:r>
          </w:p>
        </w:tc>
      </w:tr>
      <w:tr>
        <w:tc>
          <w:tcPr>
            <w:tcW w:type="dxa" w:w="2948"/>
          </w:tcPr>
          <w:p>
            <w:r>
              <w:rPr>
                <w:rFonts w:ascii="Times New Roman" w:hAnsi="Times New Roman"/>
                <w:b/>
                <w:sz w:val="20"/>
              </w:rPr>
              <w:t>Sözleşme başlangıç tarihi</w:t>
            </w:r>
          </w:p>
        </w:tc>
        <w:tc>
          <w:tcPr>
            <w:tcW w:type="dxa" w:w="6463"/>
          </w:tcPr>
          <w:p>
            <w:r>
              <w:rPr>
                <w:rFonts w:ascii="Times New Roman" w:hAnsi="Times New Roman"/>
                <w:b w:val="0"/>
                <w:sz w:val="20"/>
              </w:rPr>
              <w:t>[GG.AA.YYYY]</w:t>
            </w:r>
          </w:p>
        </w:tc>
      </w:tr>
      <w:tr>
        <w:tc>
          <w:tcPr>
            <w:tcW w:type="dxa" w:w="2948"/>
          </w:tcPr>
          <w:p>
            <w:r>
              <w:rPr>
                <w:rFonts w:ascii="Times New Roman" w:hAnsi="Times New Roman"/>
                <w:b/>
                <w:sz w:val="20"/>
              </w:rPr>
              <w:t>Sözleşme süresi</w:t>
            </w:r>
          </w:p>
        </w:tc>
        <w:tc>
          <w:tcPr>
            <w:tcW w:type="dxa" w:w="6463"/>
          </w:tcPr>
          <w:p>
            <w:r>
              <w:rPr>
                <w:rFonts w:ascii="Times New Roman" w:hAnsi="Times New Roman"/>
                <w:b w:val="0"/>
                <w:sz w:val="20"/>
              </w:rPr>
              <w:t>Bir (1) yıl — bitiş tarihi [GG.AA.YYYY]</w:t>
            </w:r>
          </w:p>
        </w:tc>
      </w:tr>
      <w:tr>
        <w:tc>
          <w:tcPr>
            <w:tcW w:type="dxa" w:w="2948"/>
          </w:tcPr>
          <w:p>
            <w:r>
              <w:rPr>
                <w:rFonts w:ascii="Times New Roman" w:hAnsi="Times New Roman"/>
                <w:b/>
                <w:sz w:val="20"/>
              </w:rPr>
              <w:t>Aylık kira bedeli</w:t>
            </w:r>
          </w:p>
        </w:tc>
        <w:tc>
          <w:tcPr>
            <w:tcW w:type="dxa" w:w="6463"/>
          </w:tcPr>
          <w:p>
            <w:r>
              <w:rPr>
                <w:rFonts w:ascii="Times New Roman" w:hAnsi="Times New Roman"/>
                <w:b w:val="0"/>
                <w:sz w:val="20"/>
              </w:rPr>
              <w:t>[ ] TL (yazıyla: [ ] Türk Lirası)</w:t>
            </w:r>
          </w:p>
        </w:tc>
      </w:tr>
      <w:tr>
        <w:tc>
          <w:tcPr>
            <w:tcW w:type="dxa" w:w="2948"/>
          </w:tcPr>
          <w:p>
            <w:r>
              <w:rPr>
                <w:rFonts w:ascii="Times New Roman" w:hAnsi="Times New Roman"/>
                <w:b/>
                <w:sz w:val="20"/>
              </w:rPr>
              <w:t>Yıllık kira bedeli</w:t>
            </w:r>
          </w:p>
        </w:tc>
        <w:tc>
          <w:tcPr>
            <w:tcW w:type="dxa" w:w="6463"/>
          </w:tcPr>
          <w:p>
            <w:r>
              <w:rPr>
                <w:rFonts w:ascii="Times New Roman" w:hAnsi="Times New Roman"/>
                <w:b w:val="0"/>
                <w:sz w:val="20"/>
              </w:rPr>
              <w:t>[ ] TL (yazıyla: [ ] Türk Lirası)</w:t>
            </w:r>
          </w:p>
        </w:tc>
      </w:tr>
      <w:tr>
        <w:tc>
          <w:tcPr>
            <w:tcW w:type="dxa" w:w="2948"/>
          </w:tcPr>
          <w:p>
            <w:r>
              <w:rPr>
                <w:rFonts w:ascii="Times New Roman" w:hAnsi="Times New Roman"/>
                <w:b/>
                <w:sz w:val="20"/>
              </w:rPr>
              <w:t>Ödeme şekli</w:t>
            </w:r>
          </w:p>
        </w:tc>
        <w:tc>
          <w:tcPr>
            <w:tcW w:type="dxa" w:w="6463"/>
          </w:tcPr>
          <w:p>
            <w:r>
              <w:rPr>
                <w:rFonts w:ascii="Times New Roman" w:hAnsi="Times New Roman"/>
                <w:b w:val="0"/>
                <w:sz w:val="20"/>
              </w:rPr>
              <w:t>Her ayın en geç [5]. günü, [BANKA] [IBAN] hesabına havale/EFT ile</w:t>
            </w:r>
          </w:p>
        </w:tc>
      </w:tr>
      <w:tr>
        <w:tc>
          <w:tcPr>
            <w:tcW w:type="dxa" w:w="2948"/>
          </w:tcPr>
          <w:p>
            <w:r>
              <w:rPr>
                <w:rFonts w:ascii="Times New Roman" w:hAnsi="Times New Roman"/>
                <w:b/>
                <w:sz w:val="20"/>
              </w:rPr>
              <w:t>Kullanım amacı</w:t>
            </w:r>
          </w:p>
        </w:tc>
        <w:tc>
          <w:tcPr>
            <w:tcW w:type="dxa" w:w="6463"/>
          </w:tcPr>
          <w:p>
            <w:r>
              <w:rPr>
                <w:rFonts w:ascii="Times New Roman" w:hAnsi="Times New Roman"/>
                <w:b w:val="0"/>
                <w:sz w:val="20"/>
              </w:rPr>
              <w:t>Yalnızca konut (mesken)</w:t>
            </w:r>
          </w:p>
        </w:tc>
      </w:tr>
      <w:tr>
        <w:tc>
          <w:tcPr>
            <w:tcW w:type="dxa" w:w="2948"/>
          </w:tcPr>
          <w:p>
            <w:r>
              <w:rPr>
                <w:rFonts w:ascii="Times New Roman" w:hAnsi="Times New Roman"/>
                <w:b/>
                <w:sz w:val="20"/>
              </w:rPr>
              <w:t>Güvence bedeli (depozito)</w:t>
            </w:r>
          </w:p>
        </w:tc>
        <w:tc>
          <w:tcPr>
            <w:tcW w:type="dxa" w:w="6463"/>
          </w:tcPr>
          <w:p>
            <w:r>
              <w:rPr>
                <w:rFonts w:ascii="Times New Roman" w:hAnsi="Times New Roman"/>
                <w:b w:val="0"/>
                <w:sz w:val="20"/>
              </w:rPr>
              <w:t>[ ] TL — iki aylık kira bedeli karşılığı</w:t>
            </w:r>
          </w:p>
        </w:tc>
      </w:tr>
      <w:tr>
        <w:tc>
          <w:tcPr>
            <w:tcW w:type="dxa" w:w="2948"/>
          </w:tcPr>
          <w:p>
            <w:r>
              <w:rPr>
                <w:rFonts w:ascii="Times New Roman" w:hAnsi="Times New Roman"/>
                <w:b/>
                <w:sz w:val="20"/>
              </w:rPr>
              <w:t>Kiralananın teslim anındaki durumu</w:t>
            </w:r>
          </w:p>
        </w:tc>
        <w:tc>
          <w:tcPr>
            <w:tcW w:type="dxa" w:w="6463"/>
          </w:tcPr>
          <w:p>
            <w:r>
              <w:rPr>
                <w:rFonts w:ascii="Times New Roman" w:hAnsi="Times New Roman"/>
                <w:b w:val="0"/>
                <w:sz w:val="20"/>
              </w:rPr>
              <w:t>Boyalı, temiz, tesisatı çalışır ve kullanıma elverişli durumda; ayrıntı teslim tutanağındadır</w:t>
            </w:r>
          </w:p>
        </w:tc>
      </w:tr>
      <w:tr>
        <w:tc>
          <w:tcPr>
            <w:tcW w:type="dxa" w:w="2948"/>
          </w:tcPr>
          <w:p>
            <w:r>
              <w:rPr>
                <w:rFonts w:ascii="Times New Roman" w:hAnsi="Times New Roman"/>
                <w:b/>
                <w:sz w:val="20"/>
              </w:rPr>
              <w:t>Birlikte teslim edilen demirbaşlar</w:t>
            </w:r>
          </w:p>
        </w:tc>
        <w:tc>
          <w:tcPr>
            <w:tcW w:type="dxa" w:w="6463"/>
          </w:tcPr>
          <w:p>
            <w:r>
              <w:rPr>
                <w:rFonts w:ascii="Times New Roman" w:hAnsi="Times New Roman"/>
                <w:b w:val="0"/>
                <w:sz w:val="20"/>
              </w:rPr>
              <w:t>[MARKA] kombi, mutfak dolapları, ankastre ocak, [ ] adet daire anahtarı, [ ] adet bina kapı anahtarı, elektrik/su/doğalgaz sayaç endeksleri: [ ] / [ ] / [ ]</w:t>
            </w:r>
          </w:p>
        </w:tc>
      </w:tr>
    </w:tbl>
    <w:p/>
    <w:p>
      <w:r>
        <w:rPr>
          <w:rFonts w:ascii="Times New Roman" w:hAnsi="Times New Roman"/>
          <w:b/>
          <w:sz w:val="24"/>
        </w:rPr>
        <w:t>SÖZLEŞME HÜKÜMLERİ</w:t>
      </w:r>
    </w:p>
    <w:p>
      <w:r>
        <w:rPr>
          <w:rFonts w:ascii="Times New Roman" w:hAnsi="Times New Roman"/>
          <w:b/>
          <w:sz w:val="22"/>
        </w:rPr>
        <w:t>Madde 1 — Sözleşmenin konusu</w:t>
      </w:r>
    </w:p>
    <w:p>
      <w:pPr>
        <w:jc w:val="both"/>
      </w:pPr>
      <w:r>
        <w:rPr>
          <w:rFonts w:ascii="Times New Roman" w:hAnsi="Times New Roman"/>
          <w:b w:val="0"/>
          <w:sz w:val="22"/>
        </w:rPr>
        <w:t>Kiraya veren, yukarıda adresi ve tapu bilgileri yazılı taşınmazı konut olarak kullanılmak üzere kiracıya kiralamış, kiracı da bu taşınmazı aşağıdaki koşullarla kiralamayı kabul etmiştir. Taraflar, taşınmazı birlikte gezip gördüklerini ve teslim anındaki durumunu bu sözleşmeye ekli teslim tutanağıyla tespit ettiklerini beyan ederler.</w:t>
      </w:r>
    </w:p>
    <w:p>
      <w:r>
        <w:rPr>
          <w:rFonts w:ascii="Times New Roman" w:hAnsi="Times New Roman"/>
          <w:b/>
          <w:sz w:val="22"/>
        </w:rPr>
        <w:t>Madde 2 — Süre ve sözleşmenin uzaması</w:t>
      </w:r>
    </w:p>
    <w:p>
      <w:pPr>
        <w:jc w:val="both"/>
      </w:pPr>
      <w:r>
        <w:rPr>
          <w:rFonts w:ascii="Times New Roman" w:hAnsi="Times New Roman"/>
          <w:b w:val="0"/>
          <w:sz w:val="22"/>
        </w:rPr>
        <w:t>Sözleşme, başlangıç tarihinden itibaren bir yıl süreyle geçerlidir. Kiracı, sürenin bitiminden en az on beş gün önce yazılı bildirimde bulunmadıkça sözleşme aynı koşullarla birer yıl için uzamış sayılır. Kiraya veren, sürenin dolmasına dayanarak sözleşmeyi sona erdiremez; kanunda öngörülen tahliye sebepleri ve on yıllık uzama süresine ilişkin hükümler saklıdır.</w:t>
      </w:r>
    </w:p>
    <w:p>
      <w:r>
        <w:rPr>
          <w:rFonts w:ascii="Times New Roman" w:hAnsi="Times New Roman"/>
          <w:b/>
          <w:sz w:val="22"/>
        </w:rPr>
        <w:t>Madde 3 — Kira bedeli ve ödeme</w:t>
      </w:r>
    </w:p>
    <w:p>
      <w:pPr>
        <w:jc w:val="both"/>
      </w:pPr>
      <w:r>
        <w:rPr>
          <w:rFonts w:ascii="Times New Roman" w:hAnsi="Times New Roman"/>
          <w:b w:val="0"/>
          <w:sz w:val="22"/>
        </w:rPr>
        <w:t>Aylık kira bedeli, her ayın en geç [5]. günü mesai bitimine kadar kiraya verenin yukarıda yazılı banka hesabına yatırılır. Ödeme açıklamasına kiracının adı ile ait olduğu ay yazılır. Banka dekontu ödeme belgesi yerine geçer; taraflar, kira ödemelerinin banka veya PTT aracılığıyla yapılmasının vergi mevzuatı gereği zorunlu olduğunu bilirler.</w:t>
      </w:r>
    </w:p>
    <w:p>
      <w:pPr>
        <w:jc w:val="both"/>
      </w:pPr>
      <w:r>
        <w:rPr>
          <w:rFonts w:ascii="Times New Roman" w:hAnsi="Times New Roman"/>
          <w:b w:val="0"/>
          <w:sz w:val="22"/>
        </w:rPr>
        <w:t>Kiraya verenin eksik veya geç yapılan bir ödemeyi kabul etmesi, sonraki ödemeler bakımından hak kaybı ya da uygulama değişikliği anlamına gelmez.</w:t>
      </w:r>
    </w:p>
    <w:p>
      <w:r>
        <w:rPr>
          <w:rFonts w:ascii="Times New Roman" w:hAnsi="Times New Roman"/>
          <w:b/>
          <w:sz w:val="22"/>
        </w:rPr>
        <w:t>Madde 4 — Kira bedelinin yenilenen dönemde belirlenmesi</w:t>
      </w:r>
    </w:p>
    <w:p>
      <w:pPr>
        <w:jc w:val="both"/>
      </w:pPr>
      <w:r>
        <w:rPr>
          <w:rFonts w:ascii="Times New Roman" w:hAnsi="Times New Roman"/>
          <w:b w:val="0"/>
          <w:sz w:val="22"/>
        </w:rPr>
        <w:t>Yenilenen her kira yılında kira bedeli, bir önceki kira yılında Türkiye İstatistik Kurumu tarafından açıklanan tüketici fiyat endeksindeki on iki aylık ortalamalara göre değişim oranında artırılır. Bu oranı aşan bir artış talep edilemez. Beş yıllık sürenin dolmasından sonra kira bedelinin belirlenmesine ilişkin kanuni hükümler saklıdır.</w:t>
      </w:r>
    </w:p>
    <w:p>
      <w:r>
        <w:rPr>
          <w:rFonts w:ascii="Times New Roman" w:hAnsi="Times New Roman"/>
          <w:b/>
          <w:sz w:val="22"/>
        </w:rPr>
        <w:t>Madde 5 — Güvence bedeli</w:t>
      </w:r>
    </w:p>
    <w:p>
      <w:pPr>
        <w:jc w:val="both"/>
      </w:pPr>
      <w:r>
        <w:rPr>
          <w:rFonts w:ascii="Times New Roman" w:hAnsi="Times New Roman"/>
          <w:b w:val="0"/>
          <w:sz w:val="22"/>
        </w:rPr>
        <w:t>Kiracı, sözleşmenin imzalanmasıyla birlikte iki aylık kira bedeli tutarında güvence bedelini, kiraya verenin onayı olmaksızın çekilmemek kaydıyla vadeli bir tasarruf hesabına yatırır ve hesap bilgisini kiraya verene bildirir. Güvence bedeli, kira alacağı ve kiracının sorumlu olduğu hasarlar dışında hiçbir borca mahsup edilemez; kira bedeli yerine kullanılamaz.</w:t>
      </w:r>
    </w:p>
    <w:p>
      <w:pPr>
        <w:jc w:val="both"/>
      </w:pPr>
      <w:r>
        <w:rPr>
          <w:rFonts w:ascii="Times New Roman" w:hAnsi="Times New Roman"/>
          <w:b w:val="0"/>
          <w:sz w:val="22"/>
        </w:rPr>
        <w:t>Kiraya veren, sözleşmenin sona ermesini izleyen üç ay içinde kiracıya karşı kira ilişkisinden doğan bir dava açtığını ya da icra takibi başlattığını bankaya bildirmezse banka, kiracının istemi üzerine güvenceyi kiracıya geri verir.</w:t>
      </w:r>
    </w:p>
    <w:p>
      <w:r>
        <w:rPr>
          <w:rFonts w:ascii="Times New Roman" w:hAnsi="Times New Roman"/>
          <w:b/>
          <w:sz w:val="22"/>
        </w:rPr>
        <w:t>Madde 6 — Kullanma giderleri ve aidat</w:t>
      </w:r>
    </w:p>
    <w:p>
      <w:pPr>
        <w:jc w:val="both"/>
      </w:pPr>
      <w:r>
        <w:rPr>
          <w:rFonts w:ascii="Times New Roman" w:hAnsi="Times New Roman"/>
          <w:b w:val="0"/>
          <w:sz w:val="22"/>
        </w:rPr>
        <w:t>Elektrik, su, doğalgaz, internet ve benzeri kullanım giderleri ile kapıcı, temizlik, asansör bakımı, ortak alan elektriği ve ısınma gibi olağan işletme giderlerinden oluşan aylık aidat kiracıya aittir. Binanın ana yapısına, çatısına, dış cephesine veya ortak tesisatına yönelik yenileme ve yatırım niteliğindeki giderler ile bunlar için toplanan olağanüstü aidatlar kiraya verene aittir.</w:t>
      </w:r>
    </w:p>
    <w:p>
      <w:pPr>
        <w:jc w:val="both"/>
      </w:pPr>
      <w:r>
        <w:rPr>
          <w:rFonts w:ascii="Times New Roman" w:hAnsi="Times New Roman"/>
          <w:b w:val="0"/>
          <w:sz w:val="22"/>
        </w:rPr>
        <w:t>Kiracı, sayaçların kendi adına aboneliğini teslim tarihinden itibaren en geç on beş gün içinde yaptırır; tahliyede aboneliklerini kapatır ve borçsuz olduğunu belgeler.</w:t>
      </w:r>
    </w:p>
    <w:p>
      <w:r>
        <w:rPr>
          <w:rFonts w:ascii="Times New Roman" w:hAnsi="Times New Roman"/>
          <w:b/>
          <w:sz w:val="22"/>
        </w:rPr>
        <w:t>Madde 7 — Teslim ve durum tespiti</w:t>
      </w:r>
    </w:p>
    <w:p>
      <w:pPr>
        <w:jc w:val="both"/>
      </w:pPr>
      <w:r>
        <w:rPr>
          <w:rFonts w:ascii="Times New Roman" w:hAnsi="Times New Roman"/>
          <w:b w:val="0"/>
          <w:sz w:val="22"/>
        </w:rPr>
        <w:t>Kiralanan, teslim tutanağında yazılı durumuyla ve demirbaşlarıyla birlikte kiracıya teslim edilmiştir. Tutanakta yer almayan bir eksiklik veya ayıbı kiracı, teslimden itibaren yedi gün içinde yazılı olarak bildirir; bildirilmeyen ayıplar teslim anında bulunmuyor sayılır. Gizli ayıplar bu kuralın dışındadır.</w:t>
      </w:r>
    </w:p>
    <w:p>
      <w:r>
        <w:rPr>
          <w:rFonts w:ascii="Times New Roman" w:hAnsi="Times New Roman"/>
          <w:b/>
          <w:sz w:val="22"/>
        </w:rPr>
        <w:t>Madde 8 — Özenle kullanma ve komşulara saygı</w:t>
      </w:r>
    </w:p>
    <w:p>
      <w:pPr>
        <w:jc w:val="both"/>
      </w:pPr>
      <w:r>
        <w:rPr>
          <w:rFonts w:ascii="Times New Roman" w:hAnsi="Times New Roman"/>
          <w:b w:val="0"/>
          <w:sz w:val="22"/>
        </w:rPr>
        <w:t>Kiracı, kiralananı sözleşmeye uygun olarak özenle kullanmak; aynı binada oturanlara ve komşulara gerekli saygıyı göstermek; apartman yönetim planına ve kat malikleri kurulu kararlarına uymakla yükümlüdür. Kiralananda yanıcı, patlayıcı, tehlikeli madde bulundurulamaz; ortak alanlar eşya depolamak için kullanılamaz.</w:t>
      </w:r>
    </w:p>
    <w:p>
      <w:r>
        <w:rPr>
          <w:rFonts w:ascii="Times New Roman" w:hAnsi="Times New Roman"/>
          <w:b/>
          <w:sz w:val="22"/>
        </w:rPr>
        <w:t>Madde 9 — Bakım, onarım ve ayıp</w:t>
      </w:r>
    </w:p>
    <w:p>
      <w:pPr>
        <w:jc w:val="both"/>
      </w:pPr>
      <w:r>
        <w:rPr>
          <w:rFonts w:ascii="Times New Roman" w:hAnsi="Times New Roman"/>
          <w:b w:val="0"/>
          <w:sz w:val="22"/>
        </w:rPr>
        <w:t>Olağan kullanımdan doğan temizlik, küçük bakım ve küçük onarım giderleri (musluk contası, priz, ampul, sifon, kilit, kombi yıllık bakımı gibi) kiracıya aittir. Yapının ve tesisatın esaslı onarımları, kombi ve tesisat değişimi, çatı, dış cephe, ortak boru hatları gibi kiracının kusurundan kaynaklanmayan giderler kiraya verene aittir.</w:t>
      </w:r>
    </w:p>
    <w:p>
      <w:pPr>
        <w:jc w:val="both"/>
      </w:pPr>
      <w:r>
        <w:rPr>
          <w:rFonts w:ascii="Times New Roman" w:hAnsi="Times New Roman"/>
          <w:b w:val="0"/>
          <w:sz w:val="22"/>
        </w:rPr>
        <w:t>Kiracı, gidermekle yükümlü olmadığı bir ayıbı fark ettiğinde durumu gecikmeksizin kiraya verene bildirir. Bildirim yapılmaması yüzünden büyüyen zarardan kiracı sorumludur. Kiraya veren, bildirilen esaslı ayıbı makul sürede gidermezse kiracı kanunun tanıdığı seçimlik hakları kullanabilir.</w:t>
      </w:r>
    </w:p>
    <w:p>
      <w:r>
        <w:rPr>
          <w:rFonts w:ascii="Times New Roman" w:hAnsi="Times New Roman"/>
          <w:b/>
          <w:sz w:val="22"/>
        </w:rPr>
        <w:t>Madde 10 — Yenilik ve değişiklik</w:t>
      </w:r>
    </w:p>
    <w:p>
      <w:pPr>
        <w:jc w:val="both"/>
      </w:pPr>
      <w:r>
        <w:rPr>
          <w:rFonts w:ascii="Times New Roman" w:hAnsi="Times New Roman"/>
          <w:b w:val="0"/>
          <w:sz w:val="22"/>
        </w:rPr>
        <w:t>Kiracı, kiraya verenin yazılı rızası olmadan kiralananda duvar yıkma, kapı-pencere değiştirme, tesisat değiştirme, sabit dolap yapma gibi yenilik ve değişiklik yapamaz. Yazılı rızayla yapılan değişiklikler için taraflar, tahliyede eski hale getirme ya da bedel ödeme konusunu yazılı olarak ayrıca kararlaştırır; aksi yazılı olarak kararlaştırılmamışsa kiracı değer artışı için tazminat isteyemez.</w:t>
      </w:r>
    </w:p>
    <w:p>
      <w:r>
        <w:rPr>
          <w:rFonts w:ascii="Times New Roman" w:hAnsi="Times New Roman"/>
          <w:b/>
          <w:sz w:val="22"/>
        </w:rPr>
        <w:t>Madde 11 — Alt kira ve devir yasağı</w:t>
      </w:r>
    </w:p>
    <w:p>
      <w:pPr>
        <w:jc w:val="both"/>
      </w:pPr>
      <w:r>
        <w:rPr>
          <w:rFonts w:ascii="Times New Roman" w:hAnsi="Times New Roman"/>
          <w:b w:val="0"/>
          <w:sz w:val="22"/>
        </w:rPr>
        <w:t>Kiracı, kiraya verenin yazılı rızası olmadan kiralananı kısmen veya tamamen başkasına kiralayamaz, kullanım hakkını devredemez, kira ilişkisini üçüncü kişiye devredemez. Kiracının eşi ve birinci derece yakınlarının kiralananda birlikte oturması bu yasağın kapsamında değildir.</w:t>
      </w:r>
    </w:p>
    <w:p>
      <w:r>
        <w:rPr>
          <w:rFonts w:ascii="Times New Roman" w:hAnsi="Times New Roman"/>
          <w:b/>
          <w:sz w:val="22"/>
        </w:rPr>
        <w:t>Madde 12 — Kiralananın gösterilmesi</w:t>
      </w:r>
    </w:p>
    <w:p>
      <w:pPr>
        <w:jc w:val="both"/>
      </w:pPr>
      <w:r>
        <w:rPr>
          <w:rFonts w:ascii="Times New Roman" w:hAnsi="Times New Roman"/>
          <w:b w:val="0"/>
          <w:sz w:val="22"/>
        </w:rPr>
        <w:t>Kiracı; bakım, satış veya yeniden kiralama için zorunlu olduğu ölçüde ve makul süre önce haber verilmek koşuluyla, kiraya verenin ya da onun belirlediği kişinin kiralananı görmesine izin verir. Ziyaretler hafta içi [09.00-19.00] saatleri arasında ve kiracının uygun gördüğü zamanda yapılır.</w:t>
      </w:r>
    </w:p>
    <w:p>
      <w:r>
        <w:rPr>
          <w:rFonts w:ascii="Times New Roman" w:hAnsi="Times New Roman"/>
          <w:b/>
          <w:sz w:val="22"/>
        </w:rPr>
        <w:t>Madde 13 — Kiracının temerrüdü</w:t>
      </w:r>
    </w:p>
    <w:p>
      <w:pPr>
        <w:jc w:val="both"/>
      </w:pPr>
      <w:r>
        <w:rPr>
          <w:rFonts w:ascii="Times New Roman" w:hAnsi="Times New Roman"/>
          <w:b w:val="0"/>
          <w:sz w:val="22"/>
        </w:rPr>
        <w:t>Kiracı, muaccel kira bedelini veya yan gideri ödemezse kiraya veren, yazılı bildirimle en az otuz günlük süre verir ve bu sürede ödeme yapılmazsa sözleşmeyi feshedeceğini bildirir. Bir kira yılı içinde iki haklı ihtara sebep olunması ve icra yoluyla tahliye hükümleri saklıdır. Kira bedelinin zamanında ödenmemesi hâlinde ceza koşulu ödeneceğine veya sonraki kira bedellerinin muaccel olacağına ilişkin hiçbir kayıt bu sözleşmeye konulmamıştır.</w:t>
      </w:r>
    </w:p>
    <w:p>
      <w:r>
        <w:rPr>
          <w:rFonts w:ascii="Times New Roman" w:hAnsi="Times New Roman"/>
          <w:b/>
          <w:sz w:val="22"/>
        </w:rPr>
        <w:t>Madde 14 — Sona erme ve fesih bildirimi</w:t>
      </w:r>
    </w:p>
    <w:p>
      <w:pPr>
        <w:jc w:val="both"/>
      </w:pPr>
      <w:r>
        <w:rPr>
          <w:rFonts w:ascii="Times New Roman" w:hAnsi="Times New Roman"/>
          <w:b w:val="0"/>
          <w:sz w:val="22"/>
        </w:rPr>
        <w:t>Sözleşmeye ilişkin her türlü fesih bildirimi yazılı şekilde yapılır; noter kanalıyla, iadeli taahhütlü mektupla veya elden imza karşılığı tebliğ geçerlidir. Kiracı, sözleşme süresi içinde kanuni bildirim sürelerine uymadan kiralananı boşaltırsa, kiralananın benzer koşullarla yeniden kiraya verilebileceği makul süre için kira borcu devam eder; kiracının ödeme gücüne sahip ve kabul edilebilir yeni bir kiracı bulması hâlinde borcu sona erer.</w:t>
      </w:r>
    </w:p>
    <w:p>
      <w:r>
        <w:rPr>
          <w:rFonts w:ascii="Times New Roman" w:hAnsi="Times New Roman"/>
          <w:b/>
          <w:sz w:val="22"/>
        </w:rPr>
        <w:t>Madde 15 — Aile konutu beyanı</w:t>
      </w:r>
    </w:p>
    <w:p>
      <w:pPr>
        <w:jc w:val="both"/>
      </w:pPr>
      <w:r>
        <w:rPr>
          <w:rFonts w:ascii="Times New Roman" w:hAnsi="Times New Roman"/>
          <w:b w:val="0"/>
          <w:sz w:val="22"/>
        </w:rPr>
        <w:t>Kiracı, kiralananın eşiyle birlikte aile konutu olarak kullanılacağını [beyan eder / beyan etmez]. Aile konutu olarak kullanılan kiralananda kiracı, eşinin açık rızası olmadan sözleşmeyi feshedemez; kiracı olmayan eş, kiraya verene bildirimde bulunarak sözleşmenin tarafı sıfatını kazanabilir.</w:t>
      </w:r>
    </w:p>
    <w:p>
      <w:r>
        <w:rPr>
          <w:rFonts w:ascii="Times New Roman" w:hAnsi="Times New Roman"/>
          <w:b/>
          <w:sz w:val="22"/>
        </w:rPr>
        <w:t>Madde 16 — Geri verme</w:t>
      </w:r>
    </w:p>
    <w:p>
      <w:pPr>
        <w:jc w:val="both"/>
      </w:pPr>
      <w:r>
        <w:rPr>
          <w:rFonts w:ascii="Times New Roman" w:hAnsi="Times New Roman"/>
          <w:b w:val="0"/>
          <w:sz w:val="22"/>
        </w:rPr>
        <w:t>Kiracı, sözleşme sona erdiğinde kiralananı teslim aldığı durumda, temizlenmiş ve boşaltılmış olarak, tüm anahtarlarla birlikte geri verir. Sözleşmeye uygun kullanımdan doğan olağan eskime ve yıpranmadan kiracı sorumlu değildir. Kiraya veren, geri verme sırasında kiralananı gözden geçirir ve kiracının sorumlu olduğu eksiklikleri hemen yazılı olarak bildirir; bildirilmeyen eksikliklerden kiracı sorumlu tutulamaz. Olağan incelemeyle anlaşılamayan gizli eksiklikler için kiracının sorumluluğu devam eder.</w:t>
      </w:r>
    </w:p>
    <w:p>
      <w:pPr>
        <w:jc w:val="both"/>
      </w:pPr>
      <w:r>
        <w:rPr>
          <w:rFonts w:ascii="Times New Roman" w:hAnsi="Times New Roman"/>
          <w:b w:val="0"/>
          <w:sz w:val="22"/>
        </w:rPr>
        <w:t>Anahtar teslimi karşılıklı imzalı tutanakla yapılır. Kiraya verenin anahtarı teslim almaktan kaçınması hâlinde kiracı, anahtarı mahkeme aracılığıyla tevdi mahalline bırakabilir.</w:t>
      </w:r>
    </w:p>
    <w:p>
      <w:r>
        <w:rPr>
          <w:rFonts w:ascii="Times New Roman" w:hAnsi="Times New Roman"/>
          <w:b/>
          <w:sz w:val="22"/>
        </w:rPr>
        <w:t>Madde 17 — Sigorta ve zorunlu deprem sigortası</w:t>
      </w:r>
    </w:p>
    <w:p>
      <w:pPr>
        <w:jc w:val="both"/>
      </w:pPr>
      <w:r>
        <w:rPr>
          <w:rFonts w:ascii="Times New Roman" w:hAnsi="Times New Roman"/>
          <w:b w:val="0"/>
          <w:sz w:val="22"/>
        </w:rPr>
        <w:t>Zorunlu deprem sigortası (DASK) ile bina sigortası kiraya verene aittir. Kiracı, kendi ev eşyasını dilerse kendi hesabına sigortalatır. Kiracının kusuruyla üçüncü kişilere veya komşu bağımsız bölümlere verilen zararlardan kiracı sorumludur.</w:t>
      </w:r>
    </w:p>
    <w:p>
      <w:r>
        <w:rPr>
          <w:rFonts w:ascii="Times New Roman" w:hAnsi="Times New Roman"/>
          <w:b/>
          <w:sz w:val="22"/>
        </w:rPr>
        <w:t>Madde 18 — Tebligat adresleri</w:t>
      </w:r>
    </w:p>
    <w:p>
      <w:pPr>
        <w:jc w:val="both"/>
      </w:pPr>
      <w:r>
        <w:rPr>
          <w:rFonts w:ascii="Times New Roman" w:hAnsi="Times New Roman"/>
          <w:b w:val="0"/>
          <w:sz w:val="22"/>
        </w:rPr>
        <w:t>Tarafların yukarıda yazılı adresleri tebligat adresidir. Kiracı için kiralananın adresi de tebligat adresi sayılır. Adres değişikliği yazılı olarak bildirilmedikçe eski adrese yapılan tebligat geçerlidir.</w:t>
      </w:r>
    </w:p>
    <w:p>
      <w:r>
        <w:rPr>
          <w:rFonts w:ascii="Times New Roman" w:hAnsi="Times New Roman"/>
          <w:b/>
          <w:sz w:val="22"/>
        </w:rPr>
        <w:t>Madde 19 — Damga vergisi</w:t>
      </w:r>
    </w:p>
    <w:p>
      <w:pPr>
        <w:jc w:val="both"/>
      </w:pPr>
      <w:r>
        <w:rPr>
          <w:rFonts w:ascii="Times New Roman" w:hAnsi="Times New Roman"/>
          <w:b w:val="0"/>
          <w:sz w:val="22"/>
        </w:rPr>
        <w:t>Gerçek kişiler arasında konut olarak kullanılmak üzere yapılan bu kira sözleşmesi, Damga Vergisi Kanunu’na ekli (2) sayılı tablo uyarınca damga vergisinden istisnadır. Sözleşmeye kefil eklenmesi hâlinde kefalet şerhi bakımından vergi durumu ayrıca değerlendirilir.</w:t>
      </w:r>
    </w:p>
    <w:p>
      <w:r>
        <w:rPr>
          <w:rFonts w:ascii="Times New Roman" w:hAnsi="Times New Roman"/>
          <w:b/>
          <w:sz w:val="22"/>
        </w:rPr>
        <w:t>Madde 20 — Uyuşmazlıkların çözümü</w:t>
      </w:r>
    </w:p>
    <w:p>
      <w:pPr>
        <w:jc w:val="both"/>
      </w:pPr>
      <w:r>
        <w:rPr>
          <w:rFonts w:ascii="Times New Roman" w:hAnsi="Times New Roman"/>
          <w:b w:val="0"/>
          <w:sz w:val="22"/>
        </w:rPr>
        <w:t>Bu sözleşmeden doğan uyuşmazlıklarda dava açılmadan önce arabulucuya başvurulması dava şartıdır; ilamsız icra yoluyla tahliye bu kuralın dışındadır. Yetkili mahkeme, Hukuk Muhakemeleri Kanunu’nun genel yetki kurallarına göre belirlenir.</w:t>
      </w:r>
    </w:p>
    <w:p>
      <w:r>
        <w:rPr>
          <w:rFonts w:ascii="Times New Roman" w:hAnsi="Times New Roman"/>
          <w:b/>
          <w:sz w:val="22"/>
        </w:rPr>
        <w:t>Madde 21 — Nüsha ve yürürlük</w:t>
      </w:r>
    </w:p>
    <w:p>
      <w:pPr>
        <w:jc w:val="both"/>
      </w:pPr>
      <w:r>
        <w:rPr>
          <w:rFonts w:ascii="Times New Roman" w:hAnsi="Times New Roman"/>
          <w:b w:val="0"/>
          <w:sz w:val="22"/>
        </w:rPr>
        <w:t>Yirmi bir maddeden oluşan bu sözleşme, ekindeki teslim tutanağıyla birlikte iki nüsha olarak düzenlenmiş, taraflarca okunup [GG.AA.YYYY] tarihinde imzalanmıştır. Her tarafa birer nüsha verilmiştir.</w:t>
      </w:r>
    </w:p>
    <w:p/>
    <w:p>
      <w:r>
        <w:rPr>
          <w:rFonts w:ascii="Times New Roman" w:hAnsi="Times New Roman"/>
          <w:b/>
          <w:sz w:val="22"/>
        </w:rPr>
        <w:t>EK 1 — TESLİM TUTANAĞI</w:t>
      </w:r>
    </w:p>
    <w:p>
      <w:r>
        <w:rPr>
          <w:rFonts w:ascii="Times New Roman" w:hAnsi="Times New Roman"/>
          <w:b w:val="0"/>
          <w:sz w:val="21"/>
        </w:rPr>
        <w:t>Teslim tarihi: [GG.AA.YYYY] — Saat: [ ]</w:t>
      </w:r>
    </w:p>
    <w:p>
      <w:r>
        <w:rPr>
          <w:rFonts w:ascii="Times New Roman" w:hAnsi="Times New Roman"/>
          <w:b w:val="0"/>
          <w:sz w:val="21"/>
        </w:rPr>
        <w:t>Duvar ve tavanlar: [boyalı / lekesiz / hasar: ...] — Zemin: [laminat / seramik — durum: ...]</w:t>
      </w:r>
    </w:p>
    <w:p>
      <w:r>
        <w:rPr>
          <w:rFonts w:ascii="Times New Roman" w:hAnsi="Times New Roman"/>
          <w:b w:val="0"/>
          <w:sz w:val="21"/>
        </w:rPr>
        <w:t>Kapı ve pencereler: [ ] — Islak hacimler: [ ] — Mutfak dolapları ve tezgâh: [ ]</w:t>
      </w:r>
    </w:p>
    <w:p>
      <w:r>
        <w:rPr>
          <w:rFonts w:ascii="Times New Roman" w:hAnsi="Times New Roman"/>
          <w:b w:val="0"/>
          <w:sz w:val="21"/>
        </w:rPr>
        <w:t>Kombi markası ve seri no: [ ] — Son bakım tarihi: [ ]</w:t>
      </w:r>
    </w:p>
    <w:p>
      <w:r>
        <w:rPr>
          <w:rFonts w:ascii="Times New Roman" w:hAnsi="Times New Roman"/>
          <w:b w:val="0"/>
          <w:sz w:val="21"/>
        </w:rPr>
        <w:t>Elektrik sayacı endeksi: [ ] — Su sayacı endeksi: [ ] — Doğalgaz sayacı endeksi: [ ]</w:t>
      </w:r>
    </w:p>
    <w:p>
      <w:r>
        <w:rPr>
          <w:rFonts w:ascii="Times New Roman" w:hAnsi="Times New Roman"/>
          <w:b w:val="0"/>
          <w:sz w:val="21"/>
        </w:rPr>
        <w:t>Teslim edilen anahtarlar: daire [ ] adet, bina kapısı [ ] adet, posta kutusu [ ] adet</w:t>
      </w:r>
    </w:p>
    <w:p>
      <w:r>
        <w:rPr>
          <w:rFonts w:ascii="Times New Roman" w:hAnsi="Times New Roman"/>
          <w:b w:val="0"/>
          <w:sz w:val="21"/>
        </w:rPr>
        <w:t>Fotoğraflar: [ ] adet fotoğraf her iki tarafın telefonuna aynı gün gönderilmiştir.</w:t>
      </w:r>
    </w:p>
    <w:p/>
    <w:tbl>
      <w:tblPr>
        <w:tblW w:type="auto" w:w="0"/>
        <w:jc w:val="center"/>
        <w:tblLook w:firstColumn="1" w:firstRow="1" w:lastColumn="0" w:lastRow="0" w:noHBand="0" w:noVBand="1" w:val="04A0"/>
      </w:tblPr>
      <w:tblGrid>
        <w:gridCol w:w="4873"/>
        <w:gridCol w:w="4873"/>
      </w:tblGrid>
      <w:tr>
        <w:tc>
          <w:tcPr>
            <w:tcW w:type="dxa" w:w="4873"/>
          </w:tcPr>
          <w:p>
            <w:pPr>
              <w:jc w:val="center"/>
            </w:pPr>
            <w:r>
              <w:rPr>
                <w:rFonts w:ascii="Times New Roman" w:hAnsi="Times New Roman"/>
                <w:b/>
                <w:sz w:val="20"/>
              </w:rPr>
              <w:t>KİRAYA VEREN</w:t>
            </w:r>
          </w:p>
        </w:tc>
        <w:tc>
          <w:tcPr>
            <w:tcW w:type="dxa" w:w="4873"/>
          </w:tcPr>
          <w:p>
            <w:pPr>
              <w:jc w:val="center"/>
            </w:pPr>
            <w:r>
              <w:rPr>
                <w:rFonts w:ascii="Times New Roman" w:hAnsi="Times New Roman"/>
                <w:b/>
                <w:sz w:val="20"/>
              </w:rPr>
              <w:t>KİRACI</w:t>
            </w:r>
          </w:p>
        </w:tc>
      </w:tr>
      <w:tr>
        <w:tc>
          <w:tcPr>
            <w:tcW w:type="dxa" w:w="4873"/>
          </w:tcPr>
          <w:p>
            <w:pPr>
              <w:jc w:val="center"/>
            </w:pPr>
            <w:r>
              <w:rPr>
                <w:rFonts w:ascii="Times New Roman" w:hAnsi="Times New Roman"/>
                <w:b w:val="0"/>
                <w:sz w:val="20"/>
              </w:rPr>
              <w:br/>
              <w:br/>
              <w:t>Ad Soyad:</w:t>
              <w:br/>
              <w:br/>
              <w:t>İmza:</w:t>
            </w:r>
          </w:p>
        </w:tc>
        <w:tc>
          <w:tcPr>
            <w:tcW w:type="dxa" w:w="4873"/>
          </w:tcPr>
          <w:p>
            <w:pPr>
              <w:jc w:val="center"/>
            </w:pPr>
            <w:r>
              <w:rPr>
                <w:rFonts w:ascii="Times New Roman" w:hAnsi="Times New Roman"/>
                <w:b w:val="0"/>
                <w:sz w:val="20"/>
              </w:rPr>
              <w:br/>
              <w:br/>
              <w:t>Ad Soyad:</w:t>
              <w:br/>
              <w:br/>
              <w:t>İmza:</w:t>
            </w:r>
          </w:p>
        </w:tc>
      </w:tr>
    </w:tbl>
    <w:p/>
    <w:p>
      <w:r>
        <w:rPr>
          <w:rFonts w:ascii="Times New Roman" w:hAnsi="Times New Roman"/>
          <w:b w:val="0"/>
          <w:sz w:val="16"/>
        </w:rPr>
        <w:t>Bu belge www.ferhatsatan.com adresinde yayımlanan “Gayrimenkul Kira Sözleşmesi Örnekleri” yazısının ekidir. Örnek niteliğindedir; köşeli parantez içindeki alanlar somut duruma göre doldurulmalı, gerekmeyen seçenekler silinmelidir. Hukuki tavsiye yerine geçmez.</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